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A550C">
      <w:pPr>
        <w:pStyle w:val="2"/>
        <w:spacing w:before="0" w:after="0" w:line="240" w:lineRule="auto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附件6 报价表</w:t>
      </w:r>
    </w:p>
    <w:p w14:paraId="2C0D7345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报价一览表</w:t>
      </w:r>
      <w:bookmarkEnd w:id="3"/>
    </w:p>
    <w:p w14:paraId="1B0BE39A">
      <w:pPr>
        <w:jc w:val="right"/>
        <w:rPr>
          <w:rFonts w:cs="方正小标宋简体" w:asciiTheme="minorEastAsia" w:hAnsiTheme="minorEastAsia"/>
          <w:szCs w:val="21"/>
        </w:rPr>
      </w:pPr>
      <w:r>
        <w:rPr>
          <w:rFonts w:hint="eastAsia" w:cs="方正小标宋简体" w:asciiTheme="minorEastAsia" w:hAnsiTheme="minorEastAsia"/>
          <w:szCs w:val="21"/>
        </w:rPr>
        <w:t>（单位：元）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215"/>
        <w:gridCol w:w="2861"/>
        <w:gridCol w:w="1701"/>
        <w:gridCol w:w="1780"/>
      </w:tblGrid>
      <w:tr w14:paraId="29CE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296" w:type="dxa"/>
            <w:gridSpan w:val="5"/>
            <w:vAlign w:val="center"/>
          </w:tcPr>
          <w:p w14:paraId="32275400">
            <w:pPr>
              <w:pStyle w:val="3"/>
              <w:spacing w:line="360" w:lineRule="exact"/>
              <w:ind w:firstLine="0"/>
              <w:jc w:val="left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参选单位名称：</w:t>
            </w:r>
          </w:p>
        </w:tc>
      </w:tr>
      <w:tr w14:paraId="0713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39" w:type="dxa"/>
            <w:vAlign w:val="center"/>
          </w:tcPr>
          <w:p w14:paraId="6D856C2E">
            <w:pPr>
              <w:pStyle w:val="3"/>
              <w:spacing w:line="360" w:lineRule="exact"/>
              <w:ind w:firstLine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1215" w:type="dxa"/>
            <w:vAlign w:val="center"/>
          </w:tcPr>
          <w:p w14:paraId="32940E1B">
            <w:pPr>
              <w:pStyle w:val="3"/>
              <w:spacing w:line="360" w:lineRule="exact"/>
              <w:ind w:firstLine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服务类型</w:t>
            </w:r>
          </w:p>
        </w:tc>
        <w:tc>
          <w:tcPr>
            <w:tcW w:w="2861" w:type="dxa"/>
            <w:vAlign w:val="center"/>
          </w:tcPr>
          <w:p w14:paraId="74EE0323">
            <w:pPr>
              <w:pStyle w:val="3"/>
              <w:spacing w:line="360" w:lineRule="exact"/>
              <w:ind w:firstLine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服务内容</w:t>
            </w:r>
          </w:p>
        </w:tc>
        <w:tc>
          <w:tcPr>
            <w:tcW w:w="1701" w:type="dxa"/>
            <w:vAlign w:val="center"/>
          </w:tcPr>
          <w:p w14:paraId="69FB540B">
            <w:pPr>
              <w:pStyle w:val="3"/>
              <w:spacing w:line="360" w:lineRule="exact"/>
              <w:ind w:firstLine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报价（单价）</w:t>
            </w:r>
          </w:p>
        </w:tc>
        <w:tc>
          <w:tcPr>
            <w:tcW w:w="1780" w:type="dxa"/>
            <w:vAlign w:val="center"/>
          </w:tcPr>
          <w:p w14:paraId="69D40D6C">
            <w:pPr>
              <w:pStyle w:val="3"/>
              <w:spacing w:line="360" w:lineRule="exact"/>
              <w:ind w:firstLine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报价（总价）</w:t>
            </w:r>
          </w:p>
        </w:tc>
      </w:tr>
      <w:tr w14:paraId="2E59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739" w:type="dxa"/>
            <w:vAlign w:val="center"/>
          </w:tcPr>
          <w:p w14:paraId="21FF7FE8">
            <w:pPr>
              <w:pStyle w:val="3"/>
              <w:spacing w:line="360" w:lineRule="auto"/>
              <w:ind w:firstLine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1</w:t>
            </w:r>
          </w:p>
        </w:tc>
        <w:tc>
          <w:tcPr>
            <w:tcW w:w="1215" w:type="dxa"/>
            <w:vAlign w:val="center"/>
          </w:tcPr>
          <w:p w14:paraId="61DA98BB">
            <w:pPr>
              <w:snapToGrid w:val="0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拟投资项目可行性研究及前期工作支持</w:t>
            </w:r>
          </w:p>
        </w:tc>
        <w:tc>
          <w:tcPr>
            <w:tcW w:w="2861" w:type="dxa"/>
            <w:vAlign w:val="center"/>
          </w:tcPr>
          <w:p w14:paraId="1A2239A5">
            <w:pPr>
              <w:snapToGrid w:val="0"/>
              <w:rPr>
                <w:rFonts w:ascii="宋体" w:hAnsi="宋体" w:cs="Arial"/>
                <w:sz w:val="24"/>
              </w:rPr>
            </w:pPr>
            <w:bookmarkStart w:id="0" w:name="_Hlk171912222"/>
            <w:r>
              <w:rPr>
                <w:rFonts w:hint="eastAsia" w:hAnsi="宋体"/>
                <w:szCs w:val="21"/>
              </w:rPr>
              <w:t>针对公司本年度常年投资顾问服务范围内拟投资项目完成尽职调查；可行性评估、风险评估；编制可行性研究报告、风险评估报告（如需）；提供磋商谈判支持；以及就项目咨询服务过程中有关的财务、法务与商务问题提供咨询意见等（本年度数量为</w:t>
            </w:r>
            <w:r>
              <w:rPr>
                <w:rFonts w:hint="eastAsia" w:hAnsi="宋体"/>
                <w:szCs w:val="21"/>
                <w:lang w:val="en-US" w:eastAsia="zh-CN"/>
              </w:rPr>
              <w:t>2</w:t>
            </w:r>
            <w:r>
              <w:rPr>
                <w:rFonts w:hint="eastAsia" w:hAnsi="宋体"/>
                <w:szCs w:val="21"/>
              </w:rPr>
              <w:t>个，具体项目以合同约定或任务书为准）</w:t>
            </w:r>
            <w:bookmarkEnd w:id="0"/>
            <w:r>
              <w:rPr>
                <w:rFonts w:hint="eastAsia" w:hAnsi="宋体"/>
                <w:szCs w:val="21"/>
              </w:rPr>
              <w:t>。</w:t>
            </w:r>
          </w:p>
        </w:tc>
        <w:tc>
          <w:tcPr>
            <w:tcW w:w="1701" w:type="dxa"/>
            <w:vAlign w:val="center"/>
          </w:tcPr>
          <w:p w14:paraId="2E0A1E26">
            <w:pPr>
              <w:pStyle w:val="3"/>
              <w:spacing w:line="360" w:lineRule="auto"/>
              <w:ind w:firstLine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80" w:type="dxa"/>
            <w:vAlign w:val="center"/>
          </w:tcPr>
          <w:p w14:paraId="55335BEA">
            <w:pPr>
              <w:pStyle w:val="3"/>
              <w:spacing w:line="360" w:lineRule="auto"/>
              <w:ind w:firstLine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 w14:paraId="6EF88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39" w:type="dxa"/>
            <w:vAlign w:val="center"/>
          </w:tcPr>
          <w:p w14:paraId="4D76A422">
            <w:pPr>
              <w:pStyle w:val="3"/>
              <w:spacing w:line="360" w:lineRule="auto"/>
              <w:ind w:firstLine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2</w:t>
            </w:r>
          </w:p>
        </w:tc>
        <w:tc>
          <w:tcPr>
            <w:tcW w:w="1215" w:type="dxa"/>
            <w:vAlign w:val="center"/>
          </w:tcPr>
          <w:p w14:paraId="5B838105">
            <w:pPr>
              <w:snapToGrid w:val="0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hAnsi="宋体"/>
                <w:szCs w:val="21"/>
              </w:rPr>
              <w:t>项目投资收益情况财务咨询</w:t>
            </w:r>
          </w:p>
        </w:tc>
        <w:tc>
          <w:tcPr>
            <w:tcW w:w="2861" w:type="dxa"/>
            <w:vAlign w:val="center"/>
          </w:tcPr>
          <w:p w14:paraId="5EF98065">
            <w:pPr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 w:hAnsi="宋体"/>
                <w:szCs w:val="21"/>
              </w:rPr>
              <w:t>主营业务范围内指定项目的投资收益情况，提供财务测算与分析咨询服务，协助判断指定项目投资收益水平（本年度数量为</w:t>
            </w:r>
            <w:r>
              <w:rPr>
                <w:rFonts w:hint="eastAsia" w:hAnsi="宋体"/>
                <w:szCs w:val="21"/>
                <w:lang w:val="en-US" w:eastAsia="zh-CN"/>
              </w:rPr>
              <w:t>7</w:t>
            </w:r>
            <w:r>
              <w:rPr>
                <w:rFonts w:hint="eastAsia" w:hAnsi="宋体"/>
                <w:szCs w:val="21"/>
              </w:rPr>
              <w:t>个，具体项目以合同约定或任务书为准）</w:t>
            </w:r>
            <w:r>
              <w:rPr>
                <w:rFonts w:hint="eastAsia" w:ascii="宋体" w:hAnsi="宋体" w:eastAsia="宋体" w:cs="Arial"/>
                <w:szCs w:val="21"/>
              </w:rPr>
              <w:t>。</w:t>
            </w:r>
          </w:p>
        </w:tc>
        <w:tc>
          <w:tcPr>
            <w:tcW w:w="1701" w:type="dxa"/>
            <w:vAlign w:val="center"/>
          </w:tcPr>
          <w:p w14:paraId="24BF8BE5">
            <w:pPr>
              <w:pStyle w:val="3"/>
              <w:spacing w:line="360" w:lineRule="auto"/>
              <w:ind w:firstLine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80" w:type="dxa"/>
            <w:vAlign w:val="center"/>
          </w:tcPr>
          <w:p w14:paraId="63668490">
            <w:pPr>
              <w:pStyle w:val="3"/>
              <w:spacing w:line="360" w:lineRule="auto"/>
              <w:ind w:firstLine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 w14:paraId="67D7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739" w:type="dxa"/>
            <w:vAlign w:val="center"/>
          </w:tcPr>
          <w:p w14:paraId="4F6923D3">
            <w:pPr>
              <w:pStyle w:val="3"/>
              <w:spacing w:line="360" w:lineRule="auto"/>
              <w:ind w:firstLine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3</w:t>
            </w:r>
          </w:p>
        </w:tc>
        <w:tc>
          <w:tcPr>
            <w:tcW w:w="1215" w:type="dxa"/>
            <w:vAlign w:val="center"/>
          </w:tcPr>
          <w:p w14:paraId="0F902874">
            <w:pPr>
              <w:snapToGrid w:val="0"/>
              <w:rPr>
                <w:rFonts w:ascii="宋体" w:hAnsi="宋体" w:eastAsia="宋体" w:cs="Arial"/>
                <w:szCs w:val="21"/>
              </w:rPr>
            </w:pPr>
            <w:bookmarkStart w:id="1" w:name="_Hlk171912422"/>
            <w:r>
              <w:rPr>
                <w:rFonts w:hint="eastAsia" w:ascii="宋体" w:hAnsi="宋体" w:eastAsia="宋体" w:cs="Arial"/>
                <w:szCs w:val="21"/>
              </w:rPr>
              <w:t>日常投融资相关咨询、支持</w:t>
            </w:r>
            <w:bookmarkEnd w:id="1"/>
          </w:p>
        </w:tc>
        <w:tc>
          <w:tcPr>
            <w:tcW w:w="2861" w:type="dxa"/>
            <w:vAlign w:val="center"/>
          </w:tcPr>
          <w:p w14:paraId="286C929B">
            <w:pPr>
              <w:snapToGrid w:val="0"/>
              <w:rPr>
                <w:rFonts w:ascii="宋体" w:hAnsi="宋体" w:eastAsia="宋体" w:cs="Arial"/>
                <w:szCs w:val="21"/>
              </w:rPr>
            </w:pPr>
            <w:bookmarkStart w:id="2" w:name="_Hlk171912463"/>
            <w:r>
              <w:rPr>
                <w:rFonts w:hint="eastAsia" w:ascii="宋体" w:hAnsi="宋体" w:eastAsia="宋体" w:cs="Arial"/>
                <w:szCs w:val="21"/>
              </w:rPr>
              <w:t>按公司要求，就项目投融资模式、政策解读、市场行情有关的财务、法务与商务问题探讨交流，提供参考建议。</w:t>
            </w:r>
            <w:bookmarkEnd w:id="2"/>
          </w:p>
        </w:tc>
        <w:tc>
          <w:tcPr>
            <w:tcW w:w="1701" w:type="dxa"/>
            <w:vAlign w:val="center"/>
          </w:tcPr>
          <w:p w14:paraId="6840FB14">
            <w:pPr>
              <w:pStyle w:val="3"/>
              <w:spacing w:line="360" w:lineRule="auto"/>
              <w:ind w:firstLine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1FED2601">
            <w:pPr>
              <w:pStyle w:val="3"/>
              <w:spacing w:line="360" w:lineRule="auto"/>
              <w:ind w:firstLine="0"/>
              <w:jc w:val="center"/>
              <w:rPr>
                <w:rFonts w:ascii="宋体" w:hAnsi="宋体" w:cs="Arial"/>
                <w:sz w:val="24"/>
              </w:rPr>
            </w:pPr>
          </w:p>
        </w:tc>
      </w:tr>
      <w:tr w14:paraId="7CAA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516" w:type="dxa"/>
            <w:gridSpan w:val="4"/>
            <w:vAlign w:val="center"/>
          </w:tcPr>
          <w:p w14:paraId="58CFE372">
            <w:pPr>
              <w:pStyle w:val="3"/>
              <w:spacing w:line="360" w:lineRule="auto"/>
              <w:ind w:firstLine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总计报价：</w:t>
            </w:r>
          </w:p>
        </w:tc>
        <w:tc>
          <w:tcPr>
            <w:tcW w:w="1780" w:type="dxa"/>
            <w:vAlign w:val="center"/>
          </w:tcPr>
          <w:p w14:paraId="3A557D08">
            <w:pPr>
              <w:pStyle w:val="3"/>
              <w:spacing w:line="360" w:lineRule="auto"/>
              <w:ind w:firstLine="0"/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14:paraId="327C91AC">
      <w:pPr>
        <w:pStyle w:val="4"/>
        <w:snapToGrid w:val="0"/>
        <w:spacing w:line="360" w:lineRule="auto"/>
        <w:ind w:firstLine="600"/>
        <w:rPr>
          <w:rFonts w:hAnsi="宋体" w:cs="Arial"/>
        </w:rPr>
      </w:pPr>
    </w:p>
    <w:p w14:paraId="6FED4095">
      <w:pPr>
        <w:pStyle w:val="4"/>
        <w:snapToGrid w:val="0"/>
        <w:spacing w:line="360" w:lineRule="auto"/>
        <w:ind w:firstLine="600"/>
        <w:rPr>
          <w:rFonts w:hAnsi="宋体" w:cs="Arial"/>
        </w:rPr>
      </w:pPr>
      <w:r>
        <w:rPr>
          <w:rFonts w:hint="eastAsia" w:hAnsi="宋体" w:cs="Arial"/>
        </w:rPr>
        <w:t xml:space="preserve">参选单位授权代表签字：                       </w:t>
      </w:r>
    </w:p>
    <w:p w14:paraId="7BD390CE">
      <w:pPr>
        <w:pStyle w:val="4"/>
        <w:snapToGrid w:val="0"/>
        <w:spacing w:line="360" w:lineRule="auto"/>
        <w:ind w:firstLine="600"/>
        <w:rPr>
          <w:rFonts w:hAnsi="宋体" w:cs="Arial"/>
        </w:rPr>
      </w:pPr>
      <w:r>
        <w:rPr>
          <w:rFonts w:hint="eastAsia" w:hAnsi="宋体" w:cs="Arial"/>
        </w:rPr>
        <w:t xml:space="preserve">参选单位名称：                            </w:t>
      </w:r>
    </w:p>
    <w:p w14:paraId="7E6738A0">
      <w:pPr>
        <w:pStyle w:val="4"/>
        <w:snapToGrid w:val="0"/>
        <w:spacing w:line="360" w:lineRule="auto"/>
        <w:ind w:firstLine="600"/>
        <w:rPr>
          <w:rFonts w:hAnsi="宋体" w:cs="Arial"/>
        </w:rPr>
      </w:pPr>
      <w:r>
        <w:rPr>
          <w:rFonts w:hint="eastAsia" w:hAnsi="宋体" w:cs="Arial"/>
        </w:rPr>
        <w:t xml:space="preserve">公      章:                              </w:t>
      </w:r>
    </w:p>
    <w:p w14:paraId="58F453D3">
      <w:pPr>
        <w:pStyle w:val="4"/>
        <w:snapToGrid w:val="0"/>
        <w:spacing w:line="360" w:lineRule="auto"/>
        <w:ind w:firstLine="420"/>
        <w:rPr>
          <w:rFonts w:hAnsi="宋体" w:cs="Arial"/>
        </w:rPr>
      </w:pPr>
    </w:p>
    <w:p w14:paraId="3040AFAD">
      <w:pPr>
        <w:pStyle w:val="4"/>
        <w:snapToGrid w:val="0"/>
        <w:spacing w:line="360" w:lineRule="auto"/>
        <w:ind w:firstLine="420"/>
        <w:rPr>
          <w:rFonts w:hAnsi="宋体" w:cs="Arial"/>
        </w:rPr>
      </w:pPr>
      <w:r>
        <w:rPr>
          <w:rFonts w:hint="eastAsia" w:hAnsi="宋体" w:cs="Arial"/>
        </w:rPr>
        <w:t>注：1、法定代表人或其正式授权人签字并盖公章。</w:t>
      </w:r>
    </w:p>
    <w:p w14:paraId="3CA05A83">
      <w:pPr>
        <w:pStyle w:val="4"/>
        <w:snapToGrid w:val="0"/>
        <w:spacing w:line="360" w:lineRule="auto"/>
        <w:ind w:firstLine="840" w:firstLineChars="400"/>
        <w:rPr>
          <w:rFonts w:hAnsi="宋体" w:cs="Arial"/>
        </w:rPr>
      </w:pPr>
      <w:r>
        <w:rPr>
          <w:rFonts w:hint="eastAsia" w:hAnsi="宋体" w:cs="Arial"/>
        </w:rPr>
        <w:t>2、必须按上述格式内容进行报价，超过限价为无效参选。</w:t>
      </w:r>
    </w:p>
    <w:p w14:paraId="6EBD252F">
      <w:pPr>
        <w:pStyle w:val="4"/>
        <w:snapToGrid w:val="0"/>
        <w:spacing w:line="360" w:lineRule="auto"/>
        <w:ind w:firstLine="420"/>
        <w:rPr>
          <w:rFonts w:hAnsi="宋体" w:cs="Arial"/>
        </w:rPr>
      </w:pPr>
      <w:r>
        <w:rPr>
          <w:rFonts w:hint="eastAsia" w:hAnsi="宋体" w:cs="Arial"/>
        </w:rPr>
        <w:t xml:space="preserve">    3、如中选为成交人，参选单位在执行合同期间内不得提出其他额外费用。</w:t>
      </w:r>
    </w:p>
    <w:p w14:paraId="1AE18D66">
      <w:r>
        <w:rPr>
          <w:rFonts w:hint="eastAsia" w:hAnsi="宋体" w:cs="Arial"/>
        </w:rPr>
        <w:t>4、合同周期内如遇新增拟投资项目、新增项目财务咨询的，可按不超过单价签订补充协议执行，具体以届时协商为准。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NWM0NmZkNWU2NzU4NzRjMzg4OWI5NDc2NjU5NDgifQ=="/>
  </w:docVars>
  <w:rsids>
    <w:rsidRoot w:val="3B423F12"/>
    <w:rsid w:val="3B42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2024-08-12T01:37:00Z</dcterms:created>
  <dc:creator>lqy</dc:creator>
  <cp:lastModifiedBy>lqy</cp:lastModifiedBy>
  <dcterms:modified xsi:type="dcterms:W3CDTF">2024-08-12T01:37:39Z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54AB52FC5FE04F048A14FA1459FA7B44_11</vt:lpwstr>
  </property>
</Properties>
</file>