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032EF">
      <w:pPr>
        <w:jc w:val="center"/>
        <w:rPr>
          <w:rFonts w:ascii="方正小标宋_GBK" w:hAnsi="方正小标宋_GBK" w:eastAsia="方正小标宋_GBK" w:cs="方正小标宋_GBK"/>
          <w:sz w:val="40"/>
          <w:szCs w:val="48"/>
        </w:rPr>
      </w:pPr>
    </w:p>
    <w:p w14:paraId="280EB160">
      <w:pPr>
        <w:jc w:val="center"/>
        <w:rPr>
          <w:rFonts w:ascii="方正小标宋_GBK" w:hAnsi="方正小标宋_GBK" w:eastAsia="方正小标宋_GBK" w:cs="方正小标宋_GBK"/>
          <w:sz w:val="40"/>
          <w:szCs w:val="48"/>
        </w:rPr>
      </w:pPr>
    </w:p>
    <w:p w14:paraId="56B76C57">
      <w:pPr>
        <w:jc w:val="center"/>
        <w:rPr>
          <w:rFonts w:ascii="方正小标宋_GBK" w:hAnsi="方正小标宋_GBK" w:eastAsia="方正小标宋_GBK" w:cs="方正小标宋_GBK"/>
          <w:sz w:val="40"/>
          <w:szCs w:val="48"/>
        </w:rPr>
      </w:pPr>
    </w:p>
    <w:p w14:paraId="55C435D9">
      <w:pPr>
        <w:jc w:val="center"/>
        <w:rPr>
          <w:rFonts w:ascii="方正小标宋_GBK" w:hAnsi="方正小标宋_GBK" w:eastAsia="方正小标宋_GBK" w:cs="方正小标宋_GBK"/>
          <w:sz w:val="40"/>
          <w:szCs w:val="48"/>
        </w:rPr>
      </w:pPr>
    </w:p>
    <w:p w14:paraId="6352A36A">
      <w:pPr>
        <w:jc w:val="center"/>
        <w:rPr>
          <w:rFonts w:ascii="方正小标宋_GBK" w:hAnsi="方正小标宋_GBK" w:eastAsia="方正小标宋_GBK" w:cs="方正小标宋_GBK"/>
          <w:sz w:val="40"/>
          <w:szCs w:val="48"/>
        </w:rPr>
      </w:pPr>
    </w:p>
    <w:p w14:paraId="745414B0">
      <w:pPr>
        <w:jc w:val="center"/>
        <w:rPr>
          <w:rFonts w:ascii="方正小标宋_GBK" w:hAnsi="方正小标宋_GBK" w:eastAsia="方正小标宋_GBK" w:cs="方正小标宋_GBK"/>
          <w:sz w:val="40"/>
          <w:szCs w:val="48"/>
        </w:rPr>
      </w:pPr>
    </w:p>
    <w:p w14:paraId="58AA9574">
      <w:pPr>
        <w:jc w:val="center"/>
        <w:rPr>
          <w:rFonts w:ascii="华文中宋" w:hAnsi="华文中宋" w:eastAsia="华文中宋" w:cs="华文中宋"/>
          <w:b/>
          <w:bCs/>
          <w:sz w:val="52"/>
          <w:szCs w:val="52"/>
        </w:rPr>
      </w:pPr>
      <w:r>
        <w:rPr>
          <w:rFonts w:hint="eastAsia" w:ascii="华文中宋" w:hAnsi="华文中宋" w:eastAsia="华文中宋" w:cs="华文中宋"/>
          <w:b/>
          <w:bCs/>
          <w:sz w:val="52"/>
          <w:szCs w:val="52"/>
        </w:rPr>
        <w:t>广西绿城水务股份有限公司</w:t>
      </w:r>
    </w:p>
    <w:p w14:paraId="2334642D">
      <w:pPr>
        <w:jc w:val="center"/>
        <w:rPr>
          <w:rFonts w:ascii="华文中宋" w:hAnsi="华文中宋" w:eastAsia="华文中宋" w:cs="华文中宋"/>
          <w:b/>
          <w:bCs/>
          <w:sz w:val="52"/>
          <w:szCs w:val="52"/>
        </w:rPr>
      </w:pPr>
      <w:r>
        <w:rPr>
          <w:rFonts w:hint="eastAsia" w:ascii="华文中宋" w:hAnsi="华文中宋" w:eastAsia="华文中宋" w:cs="华文中宋"/>
          <w:b/>
          <w:bCs/>
          <w:sz w:val="52"/>
          <w:szCs w:val="52"/>
        </w:rPr>
        <w:t>常年投资顾问选聘方案</w:t>
      </w:r>
    </w:p>
    <w:p w14:paraId="2BF3CE71">
      <w:pPr>
        <w:jc w:val="center"/>
        <w:rPr>
          <w:rFonts w:ascii="华文中宋" w:hAnsi="华文中宋" w:eastAsia="华文中宋" w:cs="华文中宋"/>
          <w:sz w:val="36"/>
          <w:szCs w:val="44"/>
        </w:rPr>
      </w:pPr>
    </w:p>
    <w:p w14:paraId="43439274">
      <w:pPr>
        <w:jc w:val="center"/>
        <w:rPr>
          <w:rFonts w:ascii="华文中宋" w:hAnsi="华文中宋" w:eastAsia="华文中宋" w:cs="华文中宋"/>
          <w:sz w:val="36"/>
          <w:szCs w:val="44"/>
        </w:rPr>
      </w:pPr>
    </w:p>
    <w:p w14:paraId="125637F9">
      <w:pPr>
        <w:jc w:val="center"/>
        <w:rPr>
          <w:rFonts w:ascii="华文中宋" w:hAnsi="华文中宋" w:eastAsia="华文中宋" w:cs="华文中宋"/>
          <w:sz w:val="36"/>
          <w:szCs w:val="44"/>
        </w:rPr>
      </w:pPr>
    </w:p>
    <w:p w14:paraId="10ADF80B">
      <w:pPr>
        <w:jc w:val="center"/>
        <w:rPr>
          <w:rFonts w:ascii="华文中宋" w:hAnsi="华文中宋" w:eastAsia="华文中宋" w:cs="华文中宋"/>
          <w:sz w:val="36"/>
          <w:szCs w:val="44"/>
        </w:rPr>
      </w:pPr>
    </w:p>
    <w:p w14:paraId="7D117464">
      <w:pPr>
        <w:jc w:val="center"/>
        <w:rPr>
          <w:rFonts w:ascii="华文中宋" w:hAnsi="华文中宋" w:eastAsia="华文中宋" w:cs="华文中宋"/>
          <w:sz w:val="36"/>
          <w:szCs w:val="44"/>
        </w:rPr>
      </w:pPr>
    </w:p>
    <w:p w14:paraId="21AB1B96">
      <w:pPr>
        <w:jc w:val="center"/>
        <w:rPr>
          <w:rFonts w:ascii="华文中宋" w:hAnsi="华文中宋" w:eastAsia="华文中宋" w:cs="华文中宋"/>
          <w:sz w:val="36"/>
          <w:szCs w:val="44"/>
        </w:rPr>
      </w:pPr>
    </w:p>
    <w:p w14:paraId="3C4E1BB0">
      <w:pPr>
        <w:jc w:val="center"/>
        <w:rPr>
          <w:rFonts w:ascii="华文中宋" w:hAnsi="华文中宋" w:eastAsia="华文中宋" w:cs="华文中宋"/>
          <w:sz w:val="32"/>
          <w:szCs w:val="40"/>
        </w:rPr>
      </w:pPr>
    </w:p>
    <w:p w14:paraId="1B8912BF">
      <w:pPr>
        <w:jc w:val="center"/>
        <w:rPr>
          <w:rFonts w:ascii="华文中宋" w:hAnsi="华文中宋" w:eastAsia="华文中宋" w:cs="华文中宋"/>
          <w:sz w:val="32"/>
          <w:szCs w:val="40"/>
        </w:rPr>
      </w:pPr>
      <w:r>
        <w:rPr>
          <w:rFonts w:hint="eastAsia" w:ascii="华文中宋" w:hAnsi="华文中宋" w:eastAsia="华文中宋" w:cs="华文中宋"/>
          <w:sz w:val="32"/>
          <w:szCs w:val="40"/>
        </w:rPr>
        <w:t>广西绿城水务股份有限公司</w:t>
      </w:r>
    </w:p>
    <w:p w14:paraId="32193042">
      <w:pPr>
        <w:jc w:val="center"/>
        <w:rPr>
          <w:rFonts w:ascii="华文中宋" w:hAnsi="华文中宋" w:eastAsia="华文中宋" w:cs="华文中宋"/>
          <w:sz w:val="32"/>
          <w:szCs w:val="40"/>
        </w:rPr>
        <w:sectPr>
          <w:footerReference r:id="rId3" w:type="default"/>
          <w:pgSz w:w="11906" w:h="16838"/>
          <w:pgMar w:top="1440" w:right="1800" w:bottom="1440" w:left="1800" w:header="851" w:footer="992" w:gutter="0"/>
          <w:cols w:space="425" w:num="1"/>
          <w:docGrid w:type="lines" w:linePitch="312" w:charSpace="0"/>
        </w:sectPr>
      </w:pPr>
      <w:r>
        <w:rPr>
          <w:rFonts w:hint="eastAsia" w:ascii="华文中宋" w:hAnsi="华文中宋" w:eastAsia="华文中宋" w:cs="华文中宋"/>
          <w:sz w:val="32"/>
          <w:szCs w:val="40"/>
        </w:rPr>
        <w:t>2024年</w:t>
      </w:r>
      <w:r>
        <w:rPr>
          <w:rFonts w:hint="eastAsia" w:ascii="华文中宋" w:hAnsi="华文中宋" w:eastAsia="华文中宋" w:cs="华文中宋"/>
          <w:sz w:val="32"/>
          <w:szCs w:val="40"/>
          <w:lang w:val="en-US" w:eastAsia="zh-CN"/>
        </w:rPr>
        <w:t>8</w:t>
      </w:r>
      <w:r>
        <w:rPr>
          <w:rFonts w:hint="eastAsia" w:ascii="华文中宋" w:hAnsi="华文中宋" w:eastAsia="华文中宋" w:cs="华文中宋"/>
          <w:sz w:val="32"/>
          <w:szCs w:val="40"/>
        </w:rPr>
        <w:t>月</w:t>
      </w:r>
    </w:p>
    <w:p w14:paraId="59F55F94">
      <w:pPr>
        <w:adjustRightInd w:val="0"/>
        <w:snapToGrid w:val="0"/>
        <w:spacing w:line="360" w:lineRule="auto"/>
        <w:jc w:val="center"/>
        <w:outlineLvl w:val="0"/>
        <w:rPr>
          <w:rFonts w:ascii="黑体" w:hAnsi="黑体" w:eastAsia="黑体"/>
          <w:bCs/>
          <w:sz w:val="36"/>
          <w:szCs w:val="36"/>
        </w:rPr>
      </w:pPr>
      <w:r>
        <w:rPr>
          <w:rFonts w:hint="eastAsia" w:ascii="黑体" w:hAnsi="黑体" w:eastAsia="黑体"/>
          <w:bCs/>
          <w:sz w:val="36"/>
          <w:szCs w:val="36"/>
        </w:rPr>
        <w:t>第一章 选聘公告</w:t>
      </w:r>
    </w:p>
    <w:p w14:paraId="35608A9B">
      <w:pPr>
        <w:spacing w:line="540" w:lineRule="exact"/>
        <w:ind w:firstLine="640" w:firstLineChars="200"/>
        <w:jc w:val="left"/>
        <w:rPr>
          <w:rFonts w:ascii="仿宋_GB2312" w:hAnsi="仿宋_GB2312" w:eastAsia="仿宋_GB2312" w:cs="仿宋_GB2312"/>
          <w:sz w:val="32"/>
          <w:szCs w:val="40"/>
        </w:rPr>
      </w:pPr>
      <w:r>
        <w:rPr>
          <w:rFonts w:hint="eastAsia" w:ascii="仿宋_GB2312" w:hAnsi="宋体" w:eastAsia="仿宋_GB2312"/>
          <w:bCs/>
          <w:color w:val="auto"/>
          <w:sz w:val="32"/>
          <w:szCs w:val="32"/>
        </w:rPr>
        <w:t>为</w:t>
      </w:r>
      <w:r>
        <w:rPr>
          <w:rFonts w:hint="eastAsia" w:ascii="仿宋_GB2312" w:hAnsi="宋体" w:eastAsia="仿宋_GB2312"/>
          <w:bCs/>
          <w:color w:val="auto"/>
          <w:sz w:val="32"/>
          <w:szCs w:val="32"/>
          <w:lang w:eastAsia="zh-CN"/>
        </w:rPr>
        <w:t>加强企业投资管理行为</w:t>
      </w:r>
      <w:r>
        <w:rPr>
          <w:rFonts w:hint="eastAsia" w:ascii="仿宋_GB2312" w:hAnsi="宋体" w:eastAsia="仿宋_GB2312"/>
          <w:bCs/>
          <w:color w:val="auto"/>
          <w:sz w:val="32"/>
          <w:szCs w:val="32"/>
        </w:rPr>
        <w:t>，</w:t>
      </w:r>
      <w:r>
        <w:rPr>
          <w:rFonts w:hint="eastAsia" w:ascii="仿宋_GB2312" w:hAnsi="宋体" w:eastAsia="仿宋_GB2312"/>
          <w:bCs/>
          <w:color w:val="auto"/>
          <w:sz w:val="32"/>
          <w:szCs w:val="32"/>
          <w:lang w:eastAsia="zh-CN"/>
        </w:rPr>
        <w:t>进一步把握投资风险，科学研究投资行为的可行性，为投资决策提供依据，我公司</w:t>
      </w:r>
      <w:r>
        <w:rPr>
          <w:rFonts w:hint="eastAsia" w:ascii="仿宋_GB2312" w:hAnsi="宋体" w:eastAsia="仿宋_GB2312"/>
          <w:bCs/>
          <w:color w:val="auto"/>
          <w:sz w:val="32"/>
          <w:szCs w:val="32"/>
        </w:rPr>
        <w:t>拟公开选聘常年投资顾问</w:t>
      </w:r>
      <w:r>
        <w:rPr>
          <w:rFonts w:hint="eastAsia" w:ascii="仿宋_GB2312" w:hAnsi="宋体" w:eastAsia="仿宋_GB2312"/>
          <w:bCs/>
          <w:color w:val="auto"/>
          <w:sz w:val="32"/>
          <w:szCs w:val="32"/>
          <w:lang w:eastAsia="zh-CN"/>
        </w:rPr>
        <w:t>。</w:t>
      </w:r>
      <w:r>
        <w:rPr>
          <w:rFonts w:hint="eastAsia" w:ascii="仿宋_GB2312" w:hAnsi="仿宋_GB2312" w:eastAsia="仿宋_GB2312" w:cs="仿宋_GB2312"/>
          <w:sz w:val="32"/>
          <w:szCs w:val="40"/>
        </w:rPr>
        <w:t>现将有关事项公告如下：</w:t>
      </w:r>
    </w:p>
    <w:p w14:paraId="53B22DFB">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项目内容</w:t>
      </w:r>
    </w:p>
    <w:p w14:paraId="759ACF92">
      <w:pPr>
        <w:widowControl/>
        <w:ind w:firstLine="640" w:firstLineChars="200"/>
        <w:jc w:val="left"/>
        <w:rPr>
          <w:rFonts w:ascii="黑体" w:hAnsi="宋体" w:eastAsia="黑体" w:cs="黑体"/>
          <w:color w:val="000000"/>
          <w:kern w:val="0"/>
          <w:sz w:val="32"/>
          <w:szCs w:val="32"/>
          <w:lang w:bidi="ar"/>
        </w:rPr>
      </w:pPr>
      <w:r>
        <w:rPr>
          <w:rFonts w:hint="eastAsia" w:ascii="仿宋_GB2312" w:hAnsi="仿宋_GB2312" w:eastAsia="仿宋_GB2312" w:cs="仿宋_GB2312"/>
          <w:color w:val="000000"/>
          <w:kern w:val="0"/>
          <w:sz w:val="32"/>
          <w:szCs w:val="32"/>
          <w:lang w:eastAsia="zh-CN" w:bidi="ar"/>
        </w:rPr>
        <w:t>为公司提供投资项目可行性研究及前期工作支持；提供项目投资收益情况财务咨询；提供日常投融资事务咨询、支持</w:t>
      </w:r>
      <w:r>
        <w:rPr>
          <w:rFonts w:hint="eastAsia" w:ascii="仿宋_GB2312" w:hAnsi="仿宋_GB2312" w:eastAsia="仿宋_GB2312" w:cs="仿宋_GB2312"/>
          <w:color w:val="000000"/>
          <w:kern w:val="0"/>
          <w:sz w:val="32"/>
          <w:szCs w:val="32"/>
          <w:lang w:bidi="ar"/>
        </w:rPr>
        <w:t>等。</w:t>
      </w:r>
    </w:p>
    <w:p w14:paraId="4F1A08A0">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服务对象</w:t>
      </w:r>
    </w:p>
    <w:p w14:paraId="34C9D43E">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广西绿城水务股份有限公司。</w:t>
      </w:r>
    </w:p>
    <w:p w14:paraId="3DE01A80">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服务期限</w:t>
      </w:r>
    </w:p>
    <w:p w14:paraId="59658162">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服务期限1年，具体时间以合同签订日期为准。</w:t>
      </w:r>
    </w:p>
    <w:p w14:paraId="2621611F">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服务费用</w:t>
      </w:r>
    </w:p>
    <w:p w14:paraId="6997B7E7">
      <w:pPr>
        <w:widowControl/>
        <w:ind w:firstLine="620" w:firstLineChars="200"/>
        <w:jc w:val="left"/>
        <w:rPr>
          <w:rFonts w:ascii="黑体" w:hAnsi="宋体" w:eastAsia="黑体" w:cs="黑体"/>
          <w:color w:val="000000"/>
          <w:kern w:val="0"/>
          <w:sz w:val="32"/>
          <w:szCs w:val="32"/>
          <w:lang w:bidi="ar"/>
        </w:rPr>
      </w:pPr>
      <w:r>
        <w:rPr>
          <w:rFonts w:ascii="仿宋_GB2312" w:hAnsi="宋体" w:eastAsia="仿宋_GB2312" w:cs="仿宋_GB2312"/>
          <w:color w:val="000000"/>
          <w:kern w:val="0"/>
          <w:sz w:val="31"/>
          <w:szCs w:val="31"/>
          <w:lang w:bidi="ar"/>
        </w:rPr>
        <w:t>服务费用由</w:t>
      </w:r>
      <w:r>
        <w:rPr>
          <w:rFonts w:hint="eastAsia" w:ascii="仿宋_GB2312" w:hAnsi="仿宋_GB2312" w:eastAsia="仿宋_GB2312" w:cs="仿宋_GB2312"/>
          <w:color w:val="000000"/>
          <w:kern w:val="0"/>
          <w:sz w:val="32"/>
          <w:szCs w:val="32"/>
          <w:lang w:eastAsia="zh-CN" w:bidi="ar"/>
        </w:rPr>
        <w:t>参选单位</w:t>
      </w:r>
      <w:r>
        <w:rPr>
          <w:rFonts w:ascii="仿宋_GB2312" w:hAnsi="宋体" w:eastAsia="仿宋_GB2312" w:cs="仿宋_GB2312"/>
          <w:color w:val="000000"/>
          <w:kern w:val="0"/>
          <w:sz w:val="31"/>
          <w:szCs w:val="31"/>
          <w:lang w:bidi="ar"/>
        </w:rPr>
        <w:t>根据相关情况自行报价，服务费用按</w:t>
      </w:r>
      <w:r>
        <w:rPr>
          <w:rFonts w:hint="eastAsia" w:ascii="仿宋_GB2312" w:hAnsi="宋体" w:eastAsia="仿宋_GB2312" w:cs="仿宋_GB2312"/>
          <w:color w:val="000000"/>
          <w:kern w:val="0"/>
          <w:sz w:val="31"/>
          <w:szCs w:val="31"/>
          <w:lang w:bidi="ar"/>
        </w:rPr>
        <w:t>合同约定</w:t>
      </w:r>
      <w:r>
        <w:rPr>
          <w:rFonts w:hint="eastAsia" w:ascii="仿宋_GB2312" w:hAnsi="仿宋_GB2312" w:eastAsia="仿宋_GB2312" w:cs="仿宋_GB2312"/>
          <w:color w:val="000000"/>
          <w:kern w:val="0"/>
          <w:sz w:val="32"/>
          <w:szCs w:val="32"/>
          <w:lang w:bidi="ar"/>
        </w:rPr>
        <w:t>支付</w:t>
      </w:r>
      <w:r>
        <w:rPr>
          <w:rFonts w:hint="eastAsia" w:ascii="仿宋_GB2312" w:hAnsi="宋体" w:eastAsia="仿宋_GB2312" w:cs="仿宋_GB2312"/>
          <w:color w:val="000000"/>
          <w:kern w:val="0"/>
          <w:sz w:val="31"/>
          <w:szCs w:val="31"/>
          <w:lang w:bidi="ar"/>
        </w:rPr>
        <w:t>，</w:t>
      </w:r>
      <w:r>
        <w:rPr>
          <w:rFonts w:hint="eastAsia" w:ascii="仿宋_GB2312" w:hAnsi="宋体" w:eastAsia="仿宋_GB2312" w:cs="仿宋_GB2312"/>
          <w:b/>
          <w:bCs/>
          <w:color w:val="000000"/>
          <w:kern w:val="0"/>
          <w:sz w:val="31"/>
          <w:szCs w:val="31"/>
          <w:lang w:bidi="ar"/>
        </w:rPr>
        <w:t>最高限价为</w:t>
      </w:r>
      <w:r>
        <w:rPr>
          <w:rFonts w:hint="eastAsia" w:ascii="仿宋_GB2312" w:hAnsi="宋体" w:eastAsia="仿宋_GB2312" w:cs="仿宋_GB2312"/>
          <w:b/>
          <w:bCs/>
          <w:color w:val="000000"/>
          <w:kern w:val="0"/>
          <w:sz w:val="31"/>
          <w:szCs w:val="31"/>
          <w:u w:val="single"/>
          <w:lang w:bidi="ar"/>
        </w:rPr>
        <w:t>65</w:t>
      </w:r>
      <w:r>
        <w:rPr>
          <w:rFonts w:hint="eastAsia" w:ascii="仿宋_GB2312" w:hAnsi="宋体" w:eastAsia="仿宋_GB2312" w:cs="仿宋_GB2312"/>
          <w:b/>
          <w:bCs/>
          <w:color w:val="000000"/>
          <w:kern w:val="0"/>
          <w:sz w:val="31"/>
          <w:szCs w:val="31"/>
          <w:lang w:bidi="ar"/>
        </w:rPr>
        <w:t>万元人民币/年。</w:t>
      </w:r>
    </w:p>
    <w:p w14:paraId="7C770A5B">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服务具体内容</w:t>
      </w:r>
    </w:p>
    <w:p w14:paraId="7DD54568">
      <w:pPr>
        <w:widowControl/>
        <w:numPr>
          <w:ilvl w:val="0"/>
          <w:numId w:val="2"/>
        </w:numPr>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eastAsia="zh-CN" w:bidi="ar"/>
        </w:rPr>
        <w:t>投资</w:t>
      </w:r>
      <w:r>
        <w:rPr>
          <w:rFonts w:hint="eastAsia" w:ascii="仿宋_GB2312" w:hAnsi="仿宋_GB2312" w:eastAsia="仿宋_GB2312" w:cs="仿宋_GB2312"/>
          <w:b/>
          <w:bCs/>
          <w:color w:val="000000"/>
          <w:kern w:val="0"/>
          <w:sz w:val="32"/>
          <w:szCs w:val="32"/>
          <w:lang w:bidi="ar"/>
        </w:rPr>
        <w:t>项目可行性研究及前期工作支持</w:t>
      </w:r>
      <w:r>
        <w:rPr>
          <w:rFonts w:hint="eastAsia" w:ascii="仿宋_GB2312" w:hAnsi="仿宋_GB2312" w:eastAsia="仿宋_GB2312" w:cs="仿宋_GB2312"/>
          <w:color w:val="000000"/>
          <w:kern w:val="0"/>
          <w:sz w:val="32"/>
          <w:szCs w:val="32"/>
          <w:lang w:bidi="ar"/>
        </w:rPr>
        <w:t>：针对公司本年度常年投资顾问服务范围内拟投资项目完成尽职调查；可行性评估、风险评估；编制可行性研究报告、风险评估报告；提供磋商谈判支持；以及就项目咨询服务过程中有关的财务、法务与商务问题提供咨询意见等（本年度数量为</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bidi="ar"/>
        </w:rPr>
        <w:t>个，具体项目以合同约定或任务书为准）。</w:t>
      </w:r>
    </w:p>
    <w:p w14:paraId="79D4ACD3">
      <w:pPr>
        <w:widowControl/>
        <w:numPr>
          <w:ilvl w:val="0"/>
          <w:numId w:val="2"/>
        </w:numPr>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项目投资收益情况财务咨询</w:t>
      </w:r>
      <w:r>
        <w:rPr>
          <w:rFonts w:hint="eastAsia" w:ascii="仿宋_GB2312" w:hAnsi="仿宋_GB2312" w:eastAsia="仿宋_GB2312" w:cs="仿宋_GB2312"/>
          <w:color w:val="000000"/>
          <w:kern w:val="0"/>
          <w:sz w:val="32"/>
          <w:szCs w:val="32"/>
          <w:lang w:bidi="ar"/>
        </w:rPr>
        <w:t>：就公司主营业务范围内指定项目的投资收益情况，提供财务测算与分析咨询服务，协助判断指定项目投资收益水平（本年度数量为</w:t>
      </w:r>
      <w:r>
        <w:rPr>
          <w:rFonts w:hint="eastAsia" w:ascii="仿宋_GB2312" w:hAnsi="仿宋_GB2312" w:eastAsia="仿宋_GB2312" w:cs="仿宋_GB2312"/>
          <w:color w:val="000000"/>
          <w:kern w:val="0"/>
          <w:sz w:val="32"/>
          <w:szCs w:val="32"/>
          <w:lang w:val="en-US" w:eastAsia="zh-CN" w:bidi="ar"/>
        </w:rPr>
        <w:t>7</w:t>
      </w:r>
      <w:r>
        <w:rPr>
          <w:rFonts w:hint="eastAsia" w:ascii="仿宋_GB2312" w:hAnsi="仿宋_GB2312" w:eastAsia="仿宋_GB2312" w:cs="仿宋_GB2312"/>
          <w:color w:val="000000"/>
          <w:kern w:val="0"/>
          <w:sz w:val="32"/>
          <w:szCs w:val="32"/>
          <w:lang w:bidi="ar"/>
        </w:rPr>
        <w:t>个，具体项目以合同约定或任务书为准）。</w:t>
      </w:r>
    </w:p>
    <w:p w14:paraId="6EF71934">
      <w:pPr>
        <w:widowControl/>
        <w:numPr>
          <w:ilvl w:val="0"/>
          <w:numId w:val="2"/>
        </w:numPr>
        <w:ind w:firstLine="643" w:firstLineChars="200"/>
        <w:jc w:val="left"/>
        <w:rPr>
          <w:rFonts w:ascii="黑体" w:hAnsi="宋体" w:eastAsia="黑体" w:cs="黑体"/>
          <w:color w:val="000000"/>
          <w:kern w:val="0"/>
          <w:sz w:val="32"/>
          <w:szCs w:val="32"/>
          <w:lang w:bidi="ar"/>
        </w:rPr>
      </w:pPr>
      <w:r>
        <w:rPr>
          <w:rFonts w:hint="eastAsia" w:ascii="仿宋_GB2312" w:hAnsi="仿宋_GB2312" w:eastAsia="仿宋_GB2312" w:cs="仿宋_GB2312"/>
          <w:b/>
          <w:bCs/>
          <w:color w:val="000000"/>
          <w:kern w:val="0"/>
          <w:sz w:val="32"/>
          <w:szCs w:val="32"/>
          <w:lang w:bidi="ar"/>
        </w:rPr>
        <w:t>日常投融资事务咨询、支持：</w:t>
      </w:r>
      <w:r>
        <w:rPr>
          <w:rFonts w:hint="eastAsia" w:ascii="仿宋_GB2312" w:hAnsi="仿宋_GB2312" w:eastAsia="仿宋_GB2312" w:cs="仿宋_GB2312"/>
          <w:color w:val="000000"/>
          <w:kern w:val="0"/>
          <w:sz w:val="32"/>
          <w:szCs w:val="32"/>
          <w:lang w:bidi="ar"/>
        </w:rPr>
        <w:t>按公司要求就项目投融资模式、政策解读、市场行情有关的财务、法务与商务问题探讨交流，提供参考建议。</w:t>
      </w:r>
    </w:p>
    <w:p w14:paraId="188ED827">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服务要求</w:t>
      </w:r>
    </w:p>
    <w:p w14:paraId="3B07182D">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（一）中选</w:t>
      </w:r>
      <w:r>
        <w:rPr>
          <w:rFonts w:hint="eastAsia" w:ascii="仿宋_GB2312" w:hAnsi="仿宋_GB2312" w:eastAsia="仿宋_GB2312" w:cs="仿宋_GB2312"/>
          <w:color w:val="000000"/>
          <w:kern w:val="0"/>
          <w:sz w:val="32"/>
          <w:szCs w:val="32"/>
          <w:lang w:eastAsia="zh-CN" w:bidi="ar"/>
        </w:rPr>
        <w:t>单位</w:t>
      </w:r>
      <w:r>
        <w:rPr>
          <w:rFonts w:hint="eastAsia" w:ascii="仿宋_GB2312" w:hAnsi="仿宋_GB2312" w:eastAsia="仿宋_GB2312" w:cs="仿宋_GB2312"/>
          <w:color w:val="000000"/>
          <w:kern w:val="0"/>
          <w:sz w:val="32"/>
          <w:szCs w:val="32"/>
          <w:lang w:bidi="ar"/>
        </w:rPr>
        <w:t>必须组织固定的投资服务团队提供投资咨询服务；</w:t>
      </w:r>
    </w:p>
    <w:p w14:paraId="1A373F2E">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（二）团队负责人应从业经验丰富，具备一定的从业年限；</w:t>
      </w:r>
    </w:p>
    <w:p w14:paraId="547F9077">
      <w:pPr>
        <w:widowControl/>
        <w:ind w:firstLine="640" w:firstLineChars="200"/>
        <w:jc w:val="left"/>
        <w:rPr>
          <w:rFonts w:ascii="黑体" w:hAnsi="宋体" w:eastAsia="黑体" w:cs="黑体"/>
          <w:color w:val="000000"/>
          <w:kern w:val="0"/>
          <w:sz w:val="32"/>
          <w:szCs w:val="32"/>
          <w:lang w:bidi="ar"/>
        </w:rPr>
      </w:pPr>
      <w:r>
        <w:rPr>
          <w:rFonts w:hint="eastAsia" w:ascii="仿宋_GB2312" w:hAnsi="仿宋_GB2312" w:eastAsia="仿宋_GB2312" w:cs="仿宋_GB2312"/>
          <w:color w:val="000000"/>
          <w:kern w:val="0"/>
          <w:sz w:val="32"/>
          <w:szCs w:val="32"/>
          <w:lang w:bidi="ar"/>
        </w:rPr>
        <w:t>（三）团队负责人和主要团队成员需要更换时，</w:t>
      </w:r>
      <w:r>
        <w:rPr>
          <w:rFonts w:hint="eastAsia" w:ascii="仿宋_GB2312" w:hAnsi="仿宋_GB2312" w:eastAsia="仿宋_GB2312" w:cs="仿宋_GB2312"/>
          <w:color w:val="000000"/>
          <w:kern w:val="0"/>
          <w:sz w:val="32"/>
          <w:szCs w:val="32"/>
          <w:lang w:eastAsia="zh-CN" w:bidi="ar"/>
        </w:rPr>
        <w:t>中选单位</w:t>
      </w:r>
      <w:r>
        <w:rPr>
          <w:rFonts w:hint="eastAsia" w:ascii="仿宋_GB2312" w:hAnsi="仿宋_GB2312" w:eastAsia="仿宋_GB2312" w:cs="仿宋_GB2312"/>
          <w:color w:val="000000"/>
          <w:kern w:val="0"/>
          <w:sz w:val="32"/>
          <w:szCs w:val="32"/>
          <w:lang w:bidi="ar"/>
        </w:rPr>
        <w:t>需指派有相同资质和经验的咨询顾问，并获得公司书面同意。公司认为所指派咨询顾问不能胜任工作要求的，有权要求</w:t>
      </w:r>
      <w:r>
        <w:rPr>
          <w:rFonts w:hint="eastAsia" w:ascii="仿宋_GB2312" w:hAnsi="仿宋_GB2312" w:eastAsia="仿宋_GB2312" w:cs="仿宋_GB2312"/>
          <w:color w:val="000000"/>
          <w:kern w:val="0"/>
          <w:sz w:val="32"/>
          <w:szCs w:val="32"/>
          <w:lang w:eastAsia="zh-CN" w:bidi="ar"/>
        </w:rPr>
        <w:t>中选单位</w:t>
      </w:r>
      <w:r>
        <w:rPr>
          <w:rFonts w:hint="eastAsia" w:ascii="仿宋_GB2312" w:hAnsi="仿宋_GB2312" w:eastAsia="仿宋_GB2312" w:cs="仿宋_GB2312"/>
          <w:color w:val="000000"/>
          <w:kern w:val="0"/>
          <w:sz w:val="32"/>
          <w:szCs w:val="32"/>
          <w:lang w:bidi="ar"/>
        </w:rPr>
        <w:t>限期更换。</w:t>
      </w:r>
    </w:p>
    <w:p w14:paraId="3CD60D62">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资质条件</w:t>
      </w:r>
    </w:p>
    <w:p w14:paraId="7ACC2E82">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报名参加选聘的</w:t>
      </w:r>
      <w:r>
        <w:rPr>
          <w:rFonts w:hint="eastAsia" w:ascii="仿宋_GB2312" w:hAnsi="仿宋_GB2312" w:eastAsia="仿宋_GB2312" w:cs="仿宋_GB2312"/>
          <w:color w:val="000000"/>
          <w:kern w:val="0"/>
          <w:sz w:val="32"/>
          <w:szCs w:val="32"/>
          <w:lang w:eastAsia="zh-CN" w:bidi="ar"/>
        </w:rPr>
        <w:t>单位</w:t>
      </w:r>
      <w:r>
        <w:rPr>
          <w:rFonts w:hint="eastAsia" w:ascii="仿宋_GB2312" w:hAnsi="仿宋_GB2312" w:eastAsia="仿宋_GB2312" w:cs="仿宋_GB2312"/>
          <w:color w:val="000000"/>
          <w:kern w:val="0"/>
          <w:sz w:val="32"/>
          <w:szCs w:val="32"/>
          <w:lang w:bidi="ar"/>
        </w:rPr>
        <w:t>应满足以下基本条件，并提供相关证明材料：</w:t>
      </w:r>
    </w:p>
    <w:p w14:paraId="06211D21">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（一）依法设立并正常经营，具备长期履行合同能力，有能力组建本项目服务团队；</w:t>
      </w:r>
    </w:p>
    <w:p w14:paraId="3F671DAE">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（二）具有独立承担民事责任的能力，具有良好的商业信誉和健全的财务会计制度，具有履行合同所必需的设备和专业技术能力，参加本次选聘活动前三年内，在经营活动中没有重大违法记录；</w:t>
      </w:r>
    </w:p>
    <w:p w14:paraId="71EA79DE">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（三）具有从事国资国企、政府部门投资项目可行性研究或基础设施和公用事业领域政府和社会资本合作项目投融资咨询经验；（提供服务案例、合同关键页）</w:t>
      </w:r>
    </w:p>
    <w:p w14:paraId="4B523BCC">
      <w:pPr>
        <w:widowControl/>
        <w:ind w:firstLine="620" w:firstLineChars="200"/>
        <w:jc w:val="left"/>
      </w:pPr>
      <w:r>
        <w:rPr>
          <w:rFonts w:ascii="仿宋_GB2312" w:hAnsi="宋体" w:eastAsia="仿宋_GB2312" w:cs="仿宋_GB2312"/>
          <w:color w:val="000000"/>
          <w:kern w:val="0"/>
          <w:sz w:val="31"/>
          <w:szCs w:val="31"/>
          <w:lang w:bidi="ar"/>
        </w:rPr>
        <w:t>（</w:t>
      </w:r>
      <w:r>
        <w:rPr>
          <w:rFonts w:hint="eastAsia" w:ascii="仿宋_GB2312" w:hAnsi="宋体" w:eastAsia="仿宋_GB2312" w:cs="仿宋_GB2312"/>
          <w:color w:val="000000"/>
          <w:kern w:val="0"/>
          <w:sz w:val="31"/>
          <w:szCs w:val="31"/>
          <w:lang w:bidi="ar"/>
        </w:rPr>
        <w:t>四</w:t>
      </w:r>
      <w:r>
        <w:rPr>
          <w:rFonts w:ascii="仿宋_GB2312" w:hAnsi="宋体" w:eastAsia="仿宋_GB2312" w:cs="仿宋_GB2312"/>
          <w:color w:val="000000"/>
          <w:kern w:val="0"/>
          <w:sz w:val="31"/>
          <w:szCs w:val="31"/>
          <w:lang w:bidi="ar"/>
        </w:rPr>
        <w:t>）法定代表人或单位负责人为同一人或者存在直接控股（控</w:t>
      </w:r>
      <w:r>
        <w:rPr>
          <w:rFonts w:hint="eastAsia" w:ascii="仿宋_GB2312" w:hAnsi="宋体" w:eastAsia="仿宋_GB2312" w:cs="仿宋_GB2312"/>
          <w:color w:val="000000"/>
          <w:kern w:val="0"/>
          <w:sz w:val="31"/>
          <w:szCs w:val="31"/>
          <w:lang w:bidi="ar"/>
        </w:rPr>
        <w:t>股比例在50%以上）、管理关系的不同法人或其他组织，不得同时参加本项目的竞争选聘。</w:t>
      </w:r>
    </w:p>
    <w:p w14:paraId="2CCCEE95">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竞选文件要求</w:t>
      </w:r>
    </w:p>
    <w:p w14:paraId="4CE98C11">
      <w:pPr>
        <w:widowControl/>
        <w:ind w:firstLine="620" w:firstLineChars="200"/>
        <w:jc w:val="left"/>
        <w:rPr>
          <w:rFonts w:ascii="仿宋_GB2312" w:hAnsi="宋体" w:eastAsia="仿宋_GB2312" w:cs="仿宋_GB2312"/>
          <w:color w:val="000000"/>
          <w:kern w:val="0"/>
          <w:sz w:val="31"/>
          <w:szCs w:val="31"/>
          <w:lang w:bidi="ar"/>
        </w:rPr>
      </w:pPr>
      <w:r>
        <w:rPr>
          <w:rFonts w:ascii="仿宋_GB2312" w:hAnsi="宋体" w:eastAsia="仿宋_GB2312" w:cs="仿宋_GB2312"/>
          <w:color w:val="000000"/>
          <w:kern w:val="0"/>
          <w:sz w:val="31"/>
          <w:szCs w:val="31"/>
          <w:lang w:bidi="ar"/>
        </w:rPr>
        <w:t>（一）报名表（格式见附件1</w:t>
      </w:r>
      <w:r>
        <w:rPr>
          <w:rFonts w:hint="eastAsia" w:ascii="仿宋_GB2312" w:hAnsi="宋体" w:eastAsia="仿宋_GB2312" w:cs="仿宋_GB2312"/>
          <w:color w:val="000000"/>
          <w:kern w:val="0"/>
          <w:sz w:val="31"/>
          <w:szCs w:val="31"/>
          <w:lang w:bidi="ar"/>
        </w:rPr>
        <w:t>，非法定代表人为授权代表时</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bidi="ar"/>
        </w:rPr>
        <w:t>附法定代表人授权书，格式自拟</w:t>
      </w:r>
      <w:r>
        <w:rPr>
          <w:rFonts w:ascii="仿宋_GB2312" w:hAnsi="宋体" w:eastAsia="仿宋_GB2312" w:cs="仿宋_GB2312"/>
          <w:color w:val="000000"/>
          <w:kern w:val="0"/>
          <w:sz w:val="31"/>
          <w:szCs w:val="31"/>
          <w:lang w:bidi="ar"/>
        </w:rPr>
        <w:t>）</w:t>
      </w:r>
      <w:r>
        <w:rPr>
          <w:rFonts w:hint="eastAsia" w:ascii="仿宋_GB2312" w:hAnsi="宋体" w:eastAsia="仿宋_GB2312" w:cs="仿宋_GB2312"/>
          <w:color w:val="000000"/>
          <w:kern w:val="0"/>
          <w:sz w:val="31"/>
          <w:szCs w:val="31"/>
          <w:lang w:bidi="ar"/>
        </w:rPr>
        <w:t>；</w:t>
      </w:r>
    </w:p>
    <w:p w14:paraId="36AF3C05">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（二）承诺函</w:t>
      </w:r>
      <w:r>
        <w:rPr>
          <w:rFonts w:ascii="仿宋_GB2312" w:hAnsi="宋体" w:eastAsia="仿宋_GB2312" w:cs="仿宋_GB2312"/>
          <w:color w:val="000000"/>
          <w:kern w:val="0"/>
          <w:sz w:val="31"/>
          <w:szCs w:val="31"/>
          <w:lang w:bidi="ar"/>
        </w:rPr>
        <w:t>（</w:t>
      </w:r>
      <w:r>
        <w:rPr>
          <w:rFonts w:hint="eastAsia" w:ascii="仿宋_GB2312" w:hAnsi="宋体" w:eastAsia="仿宋_GB2312" w:cs="仿宋_GB2312"/>
          <w:color w:val="000000"/>
          <w:kern w:val="0"/>
          <w:sz w:val="31"/>
          <w:szCs w:val="31"/>
          <w:lang w:bidi="ar"/>
        </w:rPr>
        <w:t>具有独立承担民事责任的能力、具有良好的商业信誉和健全的财务会计制度、具有履行合同所必需的设备和专业技术能力等，</w:t>
      </w:r>
      <w:r>
        <w:rPr>
          <w:rFonts w:ascii="仿宋_GB2312" w:hAnsi="宋体" w:eastAsia="仿宋_GB2312" w:cs="仿宋_GB2312"/>
          <w:color w:val="000000"/>
          <w:kern w:val="0"/>
          <w:sz w:val="31"/>
          <w:szCs w:val="31"/>
          <w:lang w:bidi="ar"/>
        </w:rPr>
        <w:t>格式见附件</w:t>
      </w:r>
      <w:r>
        <w:rPr>
          <w:rFonts w:hint="eastAsia" w:ascii="仿宋_GB2312" w:hAnsi="宋体" w:eastAsia="仿宋_GB2312" w:cs="仿宋_GB2312"/>
          <w:color w:val="000000"/>
          <w:kern w:val="0"/>
          <w:sz w:val="31"/>
          <w:szCs w:val="31"/>
          <w:lang w:bidi="ar"/>
        </w:rPr>
        <w:t>2</w:t>
      </w:r>
      <w:r>
        <w:rPr>
          <w:rFonts w:ascii="仿宋_GB2312" w:hAnsi="宋体" w:eastAsia="仿宋_GB2312" w:cs="仿宋_GB2312"/>
          <w:color w:val="000000"/>
          <w:kern w:val="0"/>
          <w:sz w:val="31"/>
          <w:szCs w:val="31"/>
          <w:lang w:bidi="ar"/>
        </w:rPr>
        <w:t>）</w:t>
      </w:r>
      <w:r>
        <w:rPr>
          <w:rFonts w:hint="eastAsia" w:ascii="仿宋_GB2312" w:hAnsi="宋体" w:eastAsia="仿宋_GB2312" w:cs="仿宋_GB2312"/>
          <w:color w:val="000000"/>
          <w:kern w:val="0"/>
          <w:sz w:val="31"/>
          <w:szCs w:val="31"/>
          <w:lang w:bidi="ar"/>
        </w:rPr>
        <w:t>；</w:t>
      </w:r>
    </w:p>
    <w:p w14:paraId="7B9E6F78">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（三）</w:t>
      </w:r>
      <w:r>
        <w:rPr>
          <w:rFonts w:hint="eastAsia" w:ascii="仿宋_GB2312" w:hAnsi="宋体" w:eastAsia="仿宋_GB2312" w:cs="仿宋_GB2312"/>
          <w:color w:val="000000"/>
          <w:kern w:val="0"/>
          <w:sz w:val="31"/>
          <w:szCs w:val="31"/>
          <w:lang w:eastAsia="zh-CN" w:bidi="ar"/>
        </w:rPr>
        <w:t>竞选</w:t>
      </w:r>
      <w:r>
        <w:rPr>
          <w:rFonts w:hint="eastAsia" w:ascii="仿宋_GB2312" w:hAnsi="宋体" w:eastAsia="仿宋_GB2312" w:cs="仿宋_GB2312"/>
          <w:color w:val="000000"/>
          <w:kern w:val="0"/>
          <w:sz w:val="31"/>
          <w:szCs w:val="31"/>
          <w:lang w:bidi="ar"/>
        </w:rPr>
        <w:t>人主要业绩一览表（格式见附件3）；</w:t>
      </w:r>
    </w:p>
    <w:p w14:paraId="08273EC4">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四）根据项目需求对应的相关应答文件。如：服务需求响应表（格式见附件4）、投资顾问实施团队（需提供团队成员信息一览表，格式见附件5）、服务方案（需求理解和分析、服务内容、团队稳定性和保障措施等内容等，格式自拟）；</w:t>
      </w:r>
    </w:p>
    <w:p w14:paraId="649F9588">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（五）报价一览表（格式见附件6）。</w:t>
      </w:r>
    </w:p>
    <w:p w14:paraId="59386250">
      <w:pPr>
        <w:widowControl/>
        <w:ind w:firstLine="622" w:firstLineChars="200"/>
        <w:jc w:val="left"/>
        <w:rPr>
          <w:rFonts w:ascii="仿宋_GB2312" w:hAnsi="宋体" w:eastAsia="仿宋_GB2312" w:cs="仿宋_GB2312"/>
          <w:b/>
          <w:bCs/>
          <w:color w:val="000000"/>
          <w:kern w:val="0"/>
          <w:sz w:val="31"/>
          <w:szCs w:val="31"/>
          <w:u w:val="single"/>
          <w:lang w:bidi="ar"/>
        </w:rPr>
      </w:pPr>
      <w:r>
        <w:rPr>
          <w:rFonts w:hint="eastAsia" w:ascii="仿宋_GB2312" w:hAnsi="宋体" w:eastAsia="仿宋_GB2312" w:cs="仿宋_GB2312"/>
          <w:b/>
          <w:bCs/>
          <w:color w:val="000000"/>
          <w:kern w:val="0"/>
          <w:sz w:val="31"/>
          <w:szCs w:val="31"/>
          <w:u w:val="single"/>
          <w:lang w:bidi="ar"/>
        </w:rPr>
        <w:t>以上资质证明材料及竞选材料均需密封，一式五份，加盖单位公章。</w:t>
      </w:r>
    </w:p>
    <w:p w14:paraId="63208415">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报名时间</w:t>
      </w:r>
    </w:p>
    <w:p w14:paraId="7177FE7B">
      <w:pPr>
        <w:widowControl/>
        <w:ind w:firstLine="622"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b/>
          <w:bCs/>
          <w:color w:val="000000"/>
          <w:kern w:val="0"/>
          <w:sz w:val="31"/>
          <w:szCs w:val="31"/>
          <w:lang w:bidi="ar"/>
        </w:rPr>
        <w:t>报名时间为</w:t>
      </w:r>
      <w:r>
        <w:rPr>
          <w:rFonts w:hint="eastAsia" w:ascii="仿宋_GB2312" w:hAnsi="宋体" w:eastAsia="仿宋_GB2312" w:cs="仿宋_GB2312"/>
          <w:b/>
          <w:bCs/>
          <w:color w:val="000000"/>
          <w:kern w:val="0"/>
          <w:sz w:val="31"/>
          <w:szCs w:val="31"/>
          <w:u w:val="single"/>
          <w:lang w:bidi="ar"/>
        </w:rPr>
        <w:t>2024年</w:t>
      </w:r>
      <w:r>
        <w:rPr>
          <w:rFonts w:hint="eastAsia" w:ascii="仿宋_GB2312" w:hAnsi="宋体" w:eastAsia="仿宋_GB2312" w:cs="仿宋_GB2312"/>
          <w:b/>
          <w:bCs/>
          <w:color w:val="000000"/>
          <w:kern w:val="0"/>
          <w:sz w:val="31"/>
          <w:szCs w:val="31"/>
          <w:u w:val="single"/>
          <w:lang w:val="en-US" w:eastAsia="zh-CN" w:bidi="ar"/>
        </w:rPr>
        <w:t>8</w:t>
      </w:r>
      <w:r>
        <w:rPr>
          <w:rFonts w:hint="eastAsia" w:ascii="仿宋_GB2312" w:hAnsi="宋体" w:eastAsia="仿宋_GB2312" w:cs="仿宋_GB2312"/>
          <w:b/>
          <w:bCs/>
          <w:color w:val="000000"/>
          <w:kern w:val="0"/>
          <w:sz w:val="31"/>
          <w:szCs w:val="31"/>
          <w:u w:val="single"/>
          <w:lang w:bidi="ar"/>
        </w:rPr>
        <w:t>月</w:t>
      </w:r>
      <w:r>
        <w:rPr>
          <w:rFonts w:hint="eastAsia" w:ascii="仿宋_GB2312" w:hAnsi="宋体" w:eastAsia="仿宋_GB2312" w:cs="仿宋_GB2312"/>
          <w:b/>
          <w:bCs/>
          <w:color w:val="000000"/>
          <w:kern w:val="0"/>
          <w:sz w:val="31"/>
          <w:szCs w:val="31"/>
          <w:u w:val="single"/>
          <w:lang w:val="en-US" w:eastAsia="zh-CN" w:bidi="ar"/>
        </w:rPr>
        <w:t>12</w:t>
      </w:r>
      <w:r>
        <w:rPr>
          <w:rFonts w:hint="eastAsia" w:ascii="仿宋_GB2312" w:hAnsi="宋体" w:eastAsia="仿宋_GB2312" w:cs="仿宋_GB2312"/>
          <w:b/>
          <w:bCs/>
          <w:color w:val="000000"/>
          <w:kern w:val="0"/>
          <w:sz w:val="31"/>
          <w:szCs w:val="31"/>
          <w:u w:val="single"/>
          <w:lang w:bidi="ar"/>
        </w:rPr>
        <w:t>日至2024日</w:t>
      </w:r>
      <w:r>
        <w:rPr>
          <w:rFonts w:hint="eastAsia" w:ascii="仿宋_GB2312" w:hAnsi="宋体" w:eastAsia="仿宋_GB2312" w:cs="仿宋_GB2312"/>
          <w:b/>
          <w:bCs/>
          <w:color w:val="000000"/>
          <w:kern w:val="0"/>
          <w:sz w:val="31"/>
          <w:szCs w:val="31"/>
          <w:u w:val="single"/>
          <w:lang w:val="en-US" w:eastAsia="zh-CN" w:bidi="ar"/>
        </w:rPr>
        <w:t>8</w:t>
      </w:r>
      <w:r>
        <w:rPr>
          <w:rFonts w:hint="eastAsia" w:ascii="仿宋_GB2312" w:hAnsi="宋体" w:eastAsia="仿宋_GB2312" w:cs="仿宋_GB2312"/>
          <w:b/>
          <w:bCs/>
          <w:color w:val="000000"/>
          <w:kern w:val="0"/>
          <w:sz w:val="31"/>
          <w:szCs w:val="31"/>
          <w:u w:val="single"/>
          <w:lang w:bidi="ar"/>
        </w:rPr>
        <w:t>月</w:t>
      </w:r>
      <w:r>
        <w:rPr>
          <w:rFonts w:hint="eastAsia" w:ascii="仿宋_GB2312" w:hAnsi="宋体" w:eastAsia="仿宋_GB2312" w:cs="仿宋_GB2312"/>
          <w:b/>
          <w:bCs/>
          <w:color w:val="000000"/>
          <w:kern w:val="0"/>
          <w:sz w:val="31"/>
          <w:szCs w:val="31"/>
          <w:u w:val="single"/>
          <w:lang w:val="en-US" w:eastAsia="zh-CN" w:bidi="ar"/>
        </w:rPr>
        <w:t>16</w:t>
      </w:r>
      <w:r>
        <w:rPr>
          <w:rFonts w:hint="eastAsia" w:ascii="仿宋_GB2312" w:hAnsi="宋体" w:eastAsia="仿宋_GB2312" w:cs="仿宋_GB2312"/>
          <w:b/>
          <w:bCs/>
          <w:color w:val="000000"/>
          <w:kern w:val="0"/>
          <w:sz w:val="31"/>
          <w:szCs w:val="31"/>
          <w:u w:val="single"/>
          <w:lang w:bidi="ar"/>
        </w:rPr>
        <w:t>日止</w:t>
      </w:r>
      <w:r>
        <w:rPr>
          <w:rFonts w:hint="eastAsia" w:ascii="仿宋_GB2312" w:hAnsi="宋体" w:eastAsia="仿宋_GB2312" w:cs="仿宋_GB2312"/>
          <w:b/>
          <w:bCs/>
          <w:color w:val="000000"/>
          <w:kern w:val="0"/>
          <w:sz w:val="31"/>
          <w:szCs w:val="31"/>
          <w:lang w:bidi="ar"/>
        </w:rPr>
        <w:t>。</w:t>
      </w:r>
      <w:r>
        <w:rPr>
          <w:rFonts w:hint="eastAsia" w:ascii="仿宋_GB2312" w:hAnsi="宋体" w:eastAsia="仿宋_GB2312" w:cs="仿宋_GB2312"/>
          <w:color w:val="000000"/>
          <w:kern w:val="0"/>
          <w:sz w:val="31"/>
          <w:szCs w:val="31"/>
          <w:lang w:bidi="ar"/>
        </w:rPr>
        <w:t>凡符合本公告条件且有意应聘的服务机构请于2024年</w:t>
      </w:r>
      <w:r>
        <w:rPr>
          <w:rFonts w:hint="eastAsia" w:ascii="仿宋_GB2312" w:hAnsi="宋体" w:eastAsia="仿宋_GB2312" w:cs="仿宋_GB2312"/>
          <w:color w:val="000000"/>
          <w:kern w:val="0"/>
          <w:sz w:val="31"/>
          <w:szCs w:val="31"/>
          <w:lang w:val="en-US" w:eastAsia="zh-CN" w:bidi="ar"/>
        </w:rPr>
        <w:t>8</w:t>
      </w:r>
      <w:r>
        <w:rPr>
          <w:rFonts w:hint="eastAsia" w:ascii="仿宋_GB2312" w:hAnsi="宋体" w:eastAsia="仿宋_GB2312" w:cs="仿宋_GB2312"/>
          <w:color w:val="000000"/>
          <w:kern w:val="0"/>
          <w:sz w:val="31"/>
          <w:szCs w:val="31"/>
          <w:lang w:bidi="ar"/>
        </w:rPr>
        <w:t>月</w:t>
      </w:r>
      <w:r>
        <w:rPr>
          <w:rFonts w:hint="eastAsia" w:ascii="仿宋_GB2312" w:hAnsi="宋体" w:eastAsia="仿宋_GB2312" w:cs="仿宋_GB2312"/>
          <w:color w:val="000000"/>
          <w:kern w:val="0"/>
          <w:sz w:val="31"/>
          <w:szCs w:val="31"/>
          <w:lang w:val="en-US" w:eastAsia="zh-CN" w:bidi="ar"/>
        </w:rPr>
        <w:t>16</w:t>
      </w:r>
      <w:r>
        <w:rPr>
          <w:rFonts w:hint="eastAsia" w:ascii="仿宋_GB2312" w:hAnsi="宋体" w:eastAsia="仿宋_GB2312" w:cs="仿宋_GB2312"/>
          <w:color w:val="000000"/>
          <w:kern w:val="0"/>
          <w:sz w:val="31"/>
          <w:szCs w:val="31"/>
          <w:lang w:bidi="ar"/>
        </w:rPr>
        <w:t>日上午9:00前（以送达时间为准）将报名材料提交至我公司董事会办公室。</w:t>
      </w:r>
    </w:p>
    <w:p w14:paraId="236AA142">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1、联系人：罗清元</w:t>
      </w:r>
    </w:p>
    <w:p w14:paraId="4CB91C18">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2、联系电话：0771-4851348</w:t>
      </w:r>
    </w:p>
    <w:p w14:paraId="7477AA9E">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3、联系地址：广西壮族自治区南宁市青秀区桂雅路13号</w:t>
      </w:r>
      <w:r>
        <w:rPr>
          <w:rFonts w:ascii="仿宋_GB2312" w:hAnsi="宋体" w:eastAsia="仿宋_GB2312" w:cs="仿宋_GB2312"/>
          <w:color w:val="000000"/>
          <w:kern w:val="0"/>
          <w:sz w:val="31"/>
          <w:szCs w:val="31"/>
          <w:lang w:bidi="ar"/>
        </w:rPr>
        <w:t>绿城水务调度检测中心</w:t>
      </w:r>
    </w:p>
    <w:p w14:paraId="2DD970CD">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评选时间及地点</w:t>
      </w:r>
    </w:p>
    <w:p w14:paraId="09C936A0">
      <w:pPr>
        <w:widowControl/>
        <w:ind w:firstLine="620" w:firstLineChars="200"/>
        <w:jc w:val="left"/>
        <w:rPr>
          <w:rFonts w:ascii="仿宋_GB2312" w:hAnsi="宋体" w:eastAsia="仿宋_GB2312" w:cs="仿宋_GB2312"/>
          <w:color w:val="000000"/>
          <w:kern w:val="0"/>
          <w:sz w:val="31"/>
          <w:szCs w:val="31"/>
          <w:u w:val="single"/>
          <w:lang w:bidi="ar"/>
        </w:rPr>
      </w:pPr>
      <w:r>
        <w:rPr>
          <w:rFonts w:hint="eastAsia" w:ascii="仿宋_GB2312" w:hAnsi="宋体" w:eastAsia="仿宋_GB2312" w:cs="仿宋_GB2312"/>
          <w:color w:val="000000"/>
          <w:kern w:val="0"/>
          <w:sz w:val="31"/>
          <w:szCs w:val="31"/>
          <w:lang w:bidi="ar"/>
        </w:rPr>
        <w:t>时间：</w:t>
      </w:r>
      <w:r>
        <w:rPr>
          <w:rFonts w:hint="eastAsia" w:ascii="仿宋_GB2312" w:hAnsi="宋体" w:eastAsia="仿宋_GB2312" w:cs="仿宋_GB2312"/>
          <w:color w:val="000000"/>
          <w:kern w:val="0"/>
          <w:sz w:val="31"/>
          <w:szCs w:val="31"/>
          <w:u w:val="single"/>
          <w:lang w:bidi="ar"/>
        </w:rPr>
        <w:t>2024年</w:t>
      </w:r>
      <w:r>
        <w:rPr>
          <w:rFonts w:hint="eastAsia" w:ascii="仿宋_GB2312" w:hAnsi="宋体" w:eastAsia="仿宋_GB2312" w:cs="仿宋_GB2312"/>
          <w:color w:val="000000"/>
          <w:kern w:val="0"/>
          <w:sz w:val="31"/>
          <w:szCs w:val="31"/>
          <w:u w:val="single"/>
          <w:lang w:val="en-US" w:eastAsia="zh-CN" w:bidi="ar"/>
        </w:rPr>
        <w:t>8</w:t>
      </w:r>
      <w:r>
        <w:rPr>
          <w:rFonts w:hint="eastAsia" w:ascii="仿宋_GB2312" w:hAnsi="宋体" w:eastAsia="仿宋_GB2312" w:cs="仿宋_GB2312"/>
          <w:color w:val="000000"/>
          <w:kern w:val="0"/>
          <w:sz w:val="31"/>
          <w:szCs w:val="31"/>
          <w:u w:val="single"/>
          <w:lang w:bidi="ar"/>
        </w:rPr>
        <w:t>月</w:t>
      </w:r>
      <w:r>
        <w:rPr>
          <w:rFonts w:hint="eastAsia" w:ascii="仿宋_GB2312" w:hAnsi="宋体" w:eastAsia="仿宋_GB2312" w:cs="仿宋_GB2312"/>
          <w:color w:val="000000"/>
          <w:kern w:val="0"/>
          <w:sz w:val="31"/>
          <w:szCs w:val="31"/>
          <w:u w:val="single"/>
          <w:lang w:val="en-US" w:eastAsia="zh-CN" w:bidi="ar"/>
        </w:rPr>
        <w:t>16</w:t>
      </w:r>
      <w:r>
        <w:rPr>
          <w:rFonts w:hint="eastAsia" w:ascii="仿宋_GB2312" w:hAnsi="宋体" w:eastAsia="仿宋_GB2312" w:cs="仿宋_GB2312"/>
          <w:color w:val="000000"/>
          <w:kern w:val="0"/>
          <w:sz w:val="31"/>
          <w:szCs w:val="31"/>
          <w:u w:val="single"/>
          <w:lang w:bidi="ar"/>
        </w:rPr>
        <w:t>日上午9:00</w:t>
      </w:r>
    </w:p>
    <w:p w14:paraId="07415CEA">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地点：南宁市青秀区桂雅路13号</w:t>
      </w:r>
      <w:r>
        <w:rPr>
          <w:rFonts w:ascii="仿宋_GB2312" w:hAnsi="宋体" w:eastAsia="仿宋_GB2312" w:cs="仿宋_GB2312"/>
          <w:color w:val="000000"/>
          <w:kern w:val="0"/>
          <w:sz w:val="31"/>
          <w:szCs w:val="31"/>
          <w:lang w:bidi="ar"/>
        </w:rPr>
        <w:t>绿城水务调度检测中心</w:t>
      </w:r>
      <w:r>
        <w:rPr>
          <w:rFonts w:hint="eastAsia" w:ascii="仿宋_GB2312" w:hAnsi="宋体" w:eastAsia="仿宋_GB2312" w:cs="仿宋_GB2312"/>
          <w:color w:val="000000"/>
          <w:kern w:val="0"/>
          <w:sz w:val="31"/>
          <w:szCs w:val="31"/>
          <w:lang w:bidi="ar"/>
        </w:rPr>
        <w:t>1417会议室</w:t>
      </w:r>
    </w:p>
    <w:p w14:paraId="719626BD">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（如有变化，另行通知）</w:t>
      </w:r>
    </w:p>
    <w:p w14:paraId="28592788">
      <w:pPr>
        <w:widowControl/>
        <w:numPr>
          <w:ilvl w:val="0"/>
          <w:numId w:val="1"/>
        </w:numPr>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评选程序</w:t>
      </w:r>
    </w:p>
    <w:p w14:paraId="7F4E6472">
      <w:pPr>
        <w:widowControl/>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1.组建评审委员会</w:t>
      </w:r>
    </w:p>
    <w:p w14:paraId="7D7053A9">
      <w:pPr>
        <w:widowControl/>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评审委员会由公司相关部门人员组成，成员人数为五人（含）以上单数。</w:t>
      </w:r>
    </w:p>
    <w:p w14:paraId="59466A1D">
      <w:pPr>
        <w:widowControl/>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2.文件初审</w:t>
      </w:r>
    </w:p>
    <w:p w14:paraId="7D61ADC7">
      <w:pPr>
        <w:widowControl/>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初审分为资格性检查和符合性检查。</w:t>
      </w:r>
      <w:r>
        <w:rPr>
          <w:rFonts w:hint="eastAsia" w:ascii="仿宋_GB2312" w:hAnsi="仿宋_GB2312" w:eastAsia="仿宋_GB2312" w:cs="仿宋_GB2312"/>
          <w:sz w:val="32"/>
          <w:szCs w:val="40"/>
          <w:lang w:eastAsia="zh-CN"/>
        </w:rPr>
        <w:t>参选单位</w:t>
      </w:r>
      <w:r>
        <w:rPr>
          <w:rFonts w:hint="eastAsia" w:ascii="仿宋_GB2312" w:hAnsi="仿宋_GB2312" w:eastAsia="仿宋_GB2312" w:cs="仿宋_GB2312"/>
          <w:sz w:val="32"/>
          <w:szCs w:val="40"/>
        </w:rPr>
        <w:t>提供的材料不真实或不满足相关要求的，公司有权取消其参选资格。</w:t>
      </w:r>
    </w:p>
    <w:p w14:paraId="2754A3EE">
      <w:pPr>
        <w:widowControl/>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3.文件详细评审</w:t>
      </w:r>
    </w:p>
    <w:p w14:paraId="7521A604">
      <w:pPr>
        <w:widowControl/>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评审方式采用综合评分法，由评审委员会根据详细评审结果确定中选候选人，并按照由高到低顺序推荐中选候选人排序。</w:t>
      </w:r>
    </w:p>
    <w:p w14:paraId="26EAEF60">
      <w:pPr>
        <w:widowControl/>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4.履约能力核查</w:t>
      </w:r>
    </w:p>
    <w:p w14:paraId="1DEDFC89">
      <w:pPr>
        <w:widowControl/>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公司将视项目需要，组织对候选人就其竞选进行履约能力核实，核实方式包括但不限于赴候选人注册地或办公地实地查看、现场核验、纪实记录等形式。</w:t>
      </w:r>
    </w:p>
    <w:p w14:paraId="4DFDD242">
      <w:pPr>
        <w:widowControl/>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5.确定中选单位</w:t>
      </w:r>
    </w:p>
    <w:p w14:paraId="1D781A8D">
      <w:pPr>
        <w:widowControl/>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公司按照评审委员会推荐的候选人及履约能力核查情况（如开展）确定中选并向其授予合同，且在</w:t>
      </w:r>
      <w:r>
        <w:rPr>
          <w:rFonts w:hint="eastAsia" w:ascii="仿宋_GB2312" w:hAnsi="宋体" w:eastAsia="仿宋_GB2312"/>
          <w:bCs/>
          <w:sz w:val="32"/>
          <w:szCs w:val="32"/>
          <w:lang w:eastAsia="zh-CN"/>
        </w:rPr>
        <w:t>公司官网或微信公众号等公开平台</w:t>
      </w:r>
      <w:r>
        <w:rPr>
          <w:rFonts w:hint="eastAsia" w:ascii="仿宋_GB2312" w:hAnsi="仿宋_GB2312" w:eastAsia="仿宋_GB2312" w:cs="仿宋_GB2312"/>
          <w:sz w:val="32"/>
          <w:szCs w:val="40"/>
        </w:rPr>
        <w:t>公布中选单位名单。</w:t>
      </w:r>
    </w:p>
    <w:p w14:paraId="5270E0AA">
      <w:pPr>
        <w:widowControl/>
        <w:ind w:firstLine="640" w:firstLineChars="200"/>
        <w:jc w:val="left"/>
        <w:rPr>
          <w:rFonts w:hint="default" w:ascii="仿宋_GB2312" w:hAnsi="仿宋_GB2312" w:eastAsia="仿宋_GB2312" w:cs="仿宋_GB2312"/>
          <w:sz w:val="32"/>
          <w:szCs w:val="40"/>
          <w:lang w:val="en-US" w:eastAsia="zh-CN"/>
        </w:rPr>
      </w:pPr>
    </w:p>
    <w:p w14:paraId="318A65A3">
      <w:pPr>
        <w:widowControl/>
        <w:ind w:firstLine="640" w:firstLineChars="200"/>
        <w:jc w:val="right"/>
        <w:rPr>
          <w:rFonts w:ascii="仿宋_GB2312" w:hAnsi="仿宋_GB2312" w:eastAsia="仿宋_GB2312" w:cs="仿宋_GB2312"/>
          <w:sz w:val="32"/>
          <w:szCs w:val="40"/>
        </w:rPr>
      </w:pPr>
      <w:r>
        <w:rPr>
          <w:rFonts w:hint="eastAsia" w:ascii="仿宋_GB2312" w:hAnsi="仿宋_GB2312" w:eastAsia="仿宋_GB2312" w:cs="仿宋_GB2312"/>
          <w:sz w:val="32"/>
          <w:szCs w:val="40"/>
        </w:rPr>
        <w:t>广西绿城水务股份有限公司</w:t>
      </w:r>
    </w:p>
    <w:p w14:paraId="2569FD60">
      <w:pPr>
        <w:widowControl/>
        <w:wordWrap w:val="0"/>
        <w:ind w:firstLine="640" w:firstLineChars="200"/>
        <w:jc w:val="right"/>
        <w:rPr>
          <w:rFonts w:ascii="仿宋_GB2312" w:hAnsi="仿宋_GB2312" w:eastAsia="仿宋_GB2312" w:cs="仿宋_GB2312"/>
          <w:sz w:val="32"/>
          <w:szCs w:val="40"/>
        </w:rPr>
      </w:pPr>
      <w:r>
        <w:rPr>
          <w:rFonts w:hint="eastAsia" w:ascii="仿宋_GB2312" w:hAnsi="仿宋_GB2312" w:eastAsia="仿宋_GB2312" w:cs="仿宋_GB2312"/>
          <w:sz w:val="32"/>
          <w:szCs w:val="40"/>
        </w:rPr>
        <w:t>2024年</w:t>
      </w:r>
      <w:r>
        <w:rPr>
          <w:rFonts w:hint="eastAsia" w:ascii="仿宋_GB2312" w:hAnsi="仿宋_GB2312" w:eastAsia="仿宋_GB2312" w:cs="仿宋_GB2312"/>
          <w:sz w:val="32"/>
          <w:szCs w:val="40"/>
          <w:lang w:val="en-US" w:eastAsia="zh-CN"/>
        </w:rPr>
        <w:t>8</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12</w:t>
      </w:r>
      <w:r>
        <w:rPr>
          <w:rFonts w:hint="eastAsia" w:ascii="仿宋_GB2312" w:hAnsi="仿宋_GB2312" w:eastAsia="仿宋_GB2312" w:cs="仿宋_GB2312"/>
          <w:sz w:val="32"/>
          <w:szCs w:val="40"/>
        </w:rPr>
        <w:t xml:space="preserve">日   </w:t>
      </w:r>
    </w:p>
    <w:p w14:paraId="2352C879">
      <w:pPr>
        <w:widowControl/>
        <w:ind w:firstLine="640" w:firstLineChars="200"/>
        <w:jc w:val="left"/>
        <w:rPr>
          <w:rFonts w:ascii="仿宋_GB2312" w:hAnsi="仿宋_GB2312" w:eastAsia="仿宋_GB2312" w:cs="仿宋_GB2312"/>
          <w:sz w:val="32"/>
          <w:szCs w:val="40"/>
        </w:rPr>
        <w:sectPr>
          <w:footerReference r:id="rId4" w:type="default"/>
          <w:pgSz w:w="11906" w:h="16838"/>
          <w:pgMar w:top="1440" w:right="1800" w:bottom="1440" w:left="1800" w:header="851" w:footer="992" w:gutter="0"/>
          <w:pgNumType w:start="1"/>
          <w:cols w:space="425" w:num="1"/>
          <w:docGrid w:type="lines" w:linePitch="312" w:charSpace="0"/>
        </w:sectPr>
      </w:pPr>
    </w:p>
    <w:p w14:paraId="6024041A">
      <w:pPr>
        <w:pStyle w:val="2"/>
        <w:spacing w:before="0" w:after="0" w:line="240" w:lineRule="auto"/>
        <w:rPr>
          <w:rFonts w:ascii="黑体" w:hAnsi="黑体" w:eastAsia="黑体" w:cs="黑体"/>
          <w:b w:val="0"/>
          <w:bCs w:val="0"/>
          <w:sz w:val="28"/>
          <w:szCs w:val="28"/>
        </w:rPr>
      </w:pPr>
      <w:r>
        <w:rPr>
          <w:rFonts w:hint="eastAsia" w:ascii="黑体" w:hAnsi="黑体" w:eastAsia="黑体" w:cs="黑体"/>
          <w:b w:val="0"/>
          <w:bCs w:val="0"/>
          <w:sz w:val="28"/>
          <w:szCs w:val="28"/>
        </w:rPr>
        <w:t>附件</w:t>
      </w:r>
      <w:r>
        <w:rPr>
          <w:rFonts w:ascii="黑体" w:hAnsi="黑体" w:eastAsia="黑体" w:cs="黑体"/>
          <w:b w:val="0"/>
          <w:bCs w:val="0"/>
          <w:sz w:val="28"/>
          <w:szCs w:val="28"/>
        </w:rPr>
        <w:t>1</w:t>
      </w:r>
      <w:r>
        <w:rPr>
          <w:rFonts w:hint="eastAsia" w:ascii="黑体" w:hAnsi="黑体" w:eastAsia="黑体" w:cs="黑体"/>
          <w:b w:val="0"/>
          <w:bCs w:val="0"/>
          <w:sz w:val="28"/>
          <w:szCs w:val="28"/>
        </w:rPr>
        <w:t xml:space="preserve"> 报名表</w:t>
      </w:r>
    </w:p>
    <w:p w14:paraId="60BE4245">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广西绿城水务股份有限公司常年投资顾问报名表</w:t>
      </w:r>
    </w:p>
    <w:p w14:paraId="7E012F53"/>
    <w:p w14:paraId="0E817054">
      <w:pPr>
        <w:jc w:val="center"/>
      </w:pPr>
      <w:r>
        <w:rPr>
          <w:rFonts w:hint="eastAsia"/>
        </w:rPr>
        <w:t>参选单位（盖章）：</w:t>
      </w:r>
      <w:r>
        <w:t xml:space="preserve">                             </w:t>
      </w:r>
      <w:r>
        <w:rPr>
          <w:rFonts w:hint="eastAsia"/>
        </w:rPr>
        <w:t>填表日期：</w:t>
      </w:r>
      <w:r>
        <w:t xml:space="preserve">        </w:t>
      </w:r>
      <w:r>
        <w:rPr>
          <w:rFonts w:hint="eastAsia"/>
        </w:rPr>
        <w:t>年</w:t>
      </w:r>
      <w:r>
        <w:t xml:space="preserve">    </w:t>
      </w:r>
      <w:r>
        <w:rPr>
          <w:rFonts w:hint="eastAsia"/>
        </w:rPr>
        <w:t>月</w:t>
      </w:r>
      <w:r>
        <w:t xml:space="preserve">    </w:t>
      </w:r>
      <w:r>
        <w:rPr>
          <w:rFonts w:hint="eastAsia"/>
        </w:rPr>
        <w:t>日</w:t>
      </w:r>
    </w:p>
    <w:tbl>
      <w:tblPr>
        <w:tblStyle w:val="8"/>
        <w:tblpPr w:leftFromText="180" w:rightFromText="180" w:vertAnchor="text" w:horzAnchor="page" w:tblpXSpec="center" w:tblpY="164"/>
        <w:tblOverlap w:val="never"/>
        <w:tblW w:w="86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1485"/>
        <w:gridCol w:w="2300"/>
        <w:gridCol w:w="1530"/>
        <w:gridCol w:w="2537"/>
      </w:tblGrid>
      <w:tr w14:paraId="2480C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0" w:type="dxa"/>
            <w:vMerge w:val="restart"/>
            <w:tcBorders>
              <w:top w:val="single" w:color="auto" w:sz="12" w:space="0"/>
            </w:tcBorders>
            <w:textDirection w:val="tbRlV"/>
          </w:tcPr>
          <w:p w14:paraId="16BEECA8">
            <w:pPr>
              <w:spacing w:line="360" w:lineRule="auto"/>
              <w:ind w:left="113" w:right="113"/>
              <w:jc w:val="center"/>
              <w:rPr>
                <w:b/>
                <w:szCs w:val="21"/>
              </w:rPr>
            </w:pPr>
            <w:r>
              <w:rPr>
                <w:rFonts w:hint="eastAsia"/>
                <w:b/>
                <w:szCs w:val="21"/>
              </w:rPr>
              <w:t>申请单位基本信息</w:t>
            </w:r>
          </w:p>
        </w:tc>
        <w:tc>
          <w:tcPr>
            <w:tcW w:w="1485" w:type="dxa"/>
            <w:tcBorders>
              <w:top w:val="single" w:color="auto" w:sz="12" w:space="0"/>
            </w:tcBorders>
          </w:tcPr>
          <w:p w14:paraId="3589ADF7">
            <w:pPr>
              <w:spacing w:line="480" w:lineRule="exact"/>
              <w:jc w:val="center"/>
              <w:rPr>
                <w:szCs w:val="21"/>
              </w:rPr>
            </w:pPr>
            <w:r>
              <w:rPr>
                <w:rFonts w:hint="eastAsia"/>
                <w:szCs w:val="21"/>
              </w:rPr>
              <w:t>公司名称</w:t>
            </w:r>
          </w:p>
        </w:tc>
        <w:tc>
          <w:tcPr>
            <w:tcW w:w="6367" w:type="dxa"/>
            <w:gridSpan w:val="3"/>
            <w:tcBorders>
              <w:top w:val="single" w:color="auto" w:sz="12" w:space="0"/>
            </w:tcBorders>
          </w:tcPr>
          <w:p w14:paraId="7DE3BAC3">
            <w:pPr>
              <w:spacing w:line="480" w:lineRule="exact"/>
              <w:jc w:val="center"/>
              <w:rPr>
                <w:szCs w:val="21"/>
              </w:rPr>
            </w:pPr>
          </w:p>
        </w:tc>
      </w:tr>
      <w:tr w14:paraId="29783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0" w:type="dxa"/>
            <w:vMerge w:val="continue"/>
          </w:tcPr>
          <w:p w14:paraId="7BBDD988">
            <w:pPr>
              <w:spacing w:line="480" w:lineRule="exact"/>
              <w:jc w:val="center"/>
              <w:rPr>
                <w:sz w:val="24"/>
              </w:rPr>
            </w:pPr>
          </w:p>
        </w:tc>
        <w:tc>
          <w:tcPr>
            <w:tcW w:w="1485" w:type="dxa"/>
          </w:tcPr>
          <w:p w14:paraId="3D4F278C">
            <w:pPr>
              <w:spacing w:line="480" w:lineRule="exact"/>
              <w:jc w:val="center"/>
              <w:rPr>
                <w:szCs w:val="21"/>
              </w:rPr>
            </w:pPr>
            <w:r>
              <w:rPr>
                <w:rFonts w:hint="eastAsia"/>
                <w:szCs w:val="21"/>
              </w:rPr>
              <w:t>地</w:t>
            </w:r>
            <w:r>
              <w:rPr>
                <w:szCs w:val="21"/>
              </w:rPr>
              <w:t xml:space="preserve">  </w:t>
            </w:r>
            <w:r>
              <w:rPr>
                <w:rFonts w:hint="eastAsia"/>
                <w:szCs w:val="21"/>
              </w:rPr>
              <w:t>址</w:t>
            </w:r>
          </w:p>
        </w:tc>
        <w:tc>
          <w:tcPr>
            <w:tcW w:w="6367" w:type="dxa"/>
            <w:gridSpan w:val="3"/>
            <w:vAlign w:val="center"/>
          </w:tcPr>
          <w:p w14:paraId="20AD0A7E">
            <w:pPr>
              <w:widowControl/>
              <w:jc w:val="center"/>
              <w:rPr>
                <w:rFonts w:ascii="楷体_GB2312" w:hAnsi="宋体" w:eastAsia="楷体_GB2312" w:cs="宋体"/>
                <w:kern w:val="0"/>
                <w:szCs w:val="21"/>
              </w:rPr>
            </w:pPr>
          </w:p>
        </w:tc>
      </w:tr>
      <w:tr w14:paraId="217BC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0" w:type="dxa"/>
            <w:vMerge w:val="continue"/>
          </w:tcPr>
          <w:p w14:paraId="039907AD">
            <w:pPr>
              <w:spacing w:line="480" w:lineRule="exact"/>
              <w:jc w:val="center"/>
              <w:rPr>
                <w:sz w:val="24"/>
              </w:rPr>
            </w:pPr>
          </w:p>
        </w:tc>
        <w:tc>
          <w:tcPr>
            <w:tcW w:w="1485" w:type="dxa"/>
          </w:tcPr>
          <w:p w14:paraId="20C82F4C">
            <w:pPr>
              <w:spacing w:line="480" w:lineRule="exact"/>
              <w:jc w:val="center"/>
              <w:rPr>
                <w:szCs w:val="21"/>
              </w:rPr>
            </w:pPr>
            <w:r>
              <w:rPr>
                <w:rFonts w:hint="eastAsia"/>
                <w:szCs w:val="21"/>
              </w:rPr>
              <w:t>设立时间</w:t>
            </w:r>
          </w:p>
        </w:tc>
        <w:tc>
          <w:tcPr>
            <w:tcW w:w="6367" w:type="dxa"/>
            <w:gridSpan w:val="3"/>
            <w:vAlign w:val="center"/>
          </w:tcPr>
          <w:p w14:paraId="3ACB39F8">
            <w:pPr>
              <w:widowControl/>
              <w:jc w:val="center"/>
              <w:rPr>
                <w:rFonts w:ascii="楷体_GB2312" w:hAnsi="宋体" w:eastAsia="楷体_GB2312" w:cs="宋体"/>
                <w:kern w:val="0"/>
                <w:szCs w:val="21"/>
              </w:rPr>
            </w:pPr>
          </w:p>
        </w:tc>
      </w:tr>
      <w:tr w14:paraId="4E792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0" w:type="dxa"/>
            <w:vMerge w:val="continue"/>
          </w:tcPr>
          <w:p w14:paraId="242486F8">
            <w:pPr>
              <w:spacing w:line="480" w:lineRule="exact"/>
              <w:jc w:val="center"/>
              <w:rPr>
                <w:sz w:val="24"/>
              </w:rPr>
            </w:pPr>
          </w:p>
        </w:tc>
        <w:tc>
          <w:tcPr>
            <w:tcW w:w="1485" w:type="dxa"/>
          </w:tcPr>
          <w:p w14:paraId="285AA905">
            <w:pPr>
              <w:spacing w:line="480" w:lineRule="exact"/>
              <w:jc w:val="center"/>
              <w:rPr>
                <w:szCs w:val="21"/>
              </w:rPr>
            </w:pPr>
            <w:r>
              <w:rPr>
                <w:rFonts w:hint="eastAsia"/>
                <w:szCs w:val="21"/>
              </w:rPr>
              <w:t>法定代表人</w:t>
            </w:r>
          </w:p>
          <w:p w14:paraId="3912DEE3">
            <w:pPr>
              <w:spacing w:line="480" w:lineRule="exact"/>
              <w:jc w:val="center"/>
              <w:rPr>
                <w:szCs w:val="21"/>
              </w:rPr>
            </w:pPr>
            <w:r>
              <w:rPr>
                <w:rFonts w:hint="eastAsia"/>
                <w:szCs w:val="21"/>
              </w:rPr>
              <w:t>姓名及职务</w:t>
            </w:r>
          </w:p>
        </w:tc>
        <w:tc>
          <w:tcPr>
            <w:tcW w:w="6367" w:type="dxa"/>
            <w:gridSpan w:val="3"/>
          </w:tcPr>
          <w:p w14:paraId="23FD7B8A">
            <w:pPr>
              <w:spacing w:line="480" w:lineRule="exact"/>
              <w:jc w:val="center"/>
              <w:rPr>
                <w:szCs w:val="21"/>
              </w:rPr>
            </w:pPr>
          </w:p>
        </w:tc>
      </w:tr>
      <w:tr w14:paraId="0080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0" w:type="dxa"/>
            <w:vMerge w:val="continue"/>
          </w:tcPr>
          <w:p w14:paraId="18929EE9">
            <w:pPr>
              <w:spacing w:line="480" w:lineRule="exact"/>
              <w:jc w:val="center"/>
              <w:rPr>
                <w:sz w:val="24"/>
              </w:rPr>
            </w:pPr>
          </w:p>
        </w:tc>
        <w:tc>
          <w:tcPr>
            <w:tcW w:w="1485" w:type="dxa"/>
          </w:tcPr>
          <w:p w14:paraId="4BE71966">
            <w:pPr>
              <w:spacing w:line="480" w:lineRule="exact"/>
              <w:jc w:val="center"/>
              <w:rPr>
                <w:szCs w:val="21"/>
              </w:rPr>
            </w:pPr>
            <w:r>
              <w:rPr>
                <w:rFonts w:hint="eastAsia"/>
                <w:szCs w:val="21"/>
              </w:rPr>
              <w:t>营业执照号</w:t>
            </w:r>
          </w:p>
        </w:tc>
        <w:tc>
          <w:tcPr>
            <w:tcW w:w="6367" w:type="dxa"/>
            <w:gridSpan w:val="3"/>
          </w:tcPr>
          <w:p w14:paraId="7BC64634">
            <w:pPr>
              <w:spacing w:line="480" w:lineRule="exact"/>
              <w:jc w:val="center"/>
              <w:rPr>
                <w:szCs w:val="21"/>
              </w:rPr>
            </w:pPr>
          </w:p>
        </w:tc>
      </w:tr>
      <w:tr w14:paraId="30DFE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0" w:type="dxa"/>
            <w:vMerge w:val="continue"/>
          </w:tcPr>
          <w:p w14:paraId="4F1E81DE">
            <w:pPr>
              <w:spacing w:line="480" w:lineRule="exact"/>
              <w:jc w:val="center"/>
              <w:rPr>
                <w:sz w:val="24"/>
              </w:rPr>
            </w:pPr>
          </w:p>
        </w:tc>
        <w:tc>
          <w:tcPr>
            <w:tcW w:w="1485" w:type="dxa"/>
          </w:tcPr>
          <w:p w14:paraId="6068F1AC">
            <w:pPr>
              <w:spacing w:line="480" w:lineRule="exact"/>
              <w:jc w:val="center"/>
              <w:rPr>
                <w:szCs w:val="21"/>
              </w:rPr>
            </w:pPr>
            <w:r>
              <w:rPr>
                <w:rFonts w:hint="eastAsia"/>
                <w:szCs w:val="21"/>
              </w:rPr>
              <w:t>注册资本</w:t>
            </w:r>
          </w:p>
        </w:tc>
        <w:tc>
          <w:tcPr>
            <w:tcW w:w="6367" w:type="dxa"/>
            <w:gridSpan w:val="3"/>
          </w:tcPr>
          <w:p w14:paraId="350C387D">
            <w:pPr>
              <w:spacing w:line="480" w:lineRule="exact"/>
              <w:jc w:val="center"/>
              <w:rPr>
                <w:szCs w:val="21"/>
              </w:rPr>
            </w:pPr>
          </w:p>
        </w:tc>
      </w:tr>
      <w:tr w14:paraId="1A8C2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50" w:type="dxa"/>
            <w:vMerge w:val="continue"/>
          </w:tcPr>
          <w:p w14:paraId="18C30BC1">
            <w:pPr>
              <w:spacing w:line="480" w:lineRule="exact"/>
              <w:jc w:val="center"/>
              <w:rPr>
                <w:sz w:val="24"/>
              </w:rPr>
            </w:pPr>
          </w:p>
        </w:tc>
        <w:tc>
          <w:tcPr>
            <w:tcW w:w="1485" w:type="dxa"/>
          </w:tcPr>
          <w:p w14:paraId="0DA6A470">
            <w:pPr>
              <w:spacing w:line="480" w:lineRule="exact"/>
              <w:jc w:val="center"/>
              <w:rPr>
                <w:szCs w:val="21"/>
              </w:rPr>
            </w:pPr>
            <w:r>
              <w:rPr>
                <w:rFonts w:hint="eastAsia"/>
                <w:szCs w:val="21"/>
              </w:rPr>
              <w:t>联系人</w:t>
            </w:r>
          </w:p>
        </w:tc>
        <w:tc>
          <w:tcPr>
            <w:tcW w:w="2300" w:type="dxa"/>
          </w:tcPr>
          <w:p w14:paraId="4CFF0E70">
            <w:pPr>
              <w:spacing w:line="480" w:lineRule="exact"/>
              <w:jc w:val="center"/>
              <w:rPr>
                <w:szCs w:val="21"/>
              </w:rPr>
            </w:pPr>
          </w:p>
        </w:tc>
        <w:tc>
          <w:tcPr>
            <w:tcW w:w="1530" w:type="dxa"/>
          </w:tcPr>
          <w:p w14:paraId="6FD9CFE7">
            <w:pPr>
              <w:spacing w:line="480" w:lineRule="exact"/>
              <w:jc w:val="center"/>
              <w:rPr>
                <w:szCs w:val="21"/>
              </w:rPr>
            </w:pPr>
            <w:r>
              <w:rPr>
                <w:rFonts w:hint="eastAsia"/>
                <w:szCs w:val="21"/>
              </w:rPr>
              <w:t>联系电话</w:t>
            </w:r>
          </w:p>
        </w:tc>
        <w:tc>
          <w:tcPr>
            <w:tcW w:w="2537" w:type="dxa"/>
          </w:tcPr>
          <w:p w14:paraId="1209BC5E">
            <w:pPr>
              <w:spacing w:line="480" w:lineRule="exact"/>
              <w:jc w:val="center"/>
              <w:rPr>
                <w:szCs w:val="21"/>
              </w:rPr>
            </w:pPr>
          </w:p>
        </w:tc>
      </w:tr>
      <w:tr w14:paraId="436B1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92" w:hRule="atLeast"/>
          <w:jc w:val="center"/>
        </w:trPr>
        <w:tc>
          <w:tcPr>
            <w:tcW w:w="750" w:type="dxa"/>
            <w:textDirection w:val="tbRlV"/>
          </w:tcPr>
          <w:p w14:paraId="0DE3CD3F">
            <w:pPr>
              <w:spacing w:line="480" w:lineRule="exact"/>
              <w:ind w:left="113" w:right="113"/>
              <w:jc w:val="center"/>
              <w:rPr>
                <w:b/>
                <w:szCs w:val="21"/>
              </w:rPr>
            </w:pPr>
            <w:r>
              <w:rPr>
                <w:rFonts w:hint="eastAsia"/>
                <w:b/>
                <w:szCs w:val="21"/>
              </w:rPr>
              <w:t>经营范围</w:t>
            </w:r>
          </w:p>
        </w:tc>
        <w:tc>
          <w:tcPr>
            <w:tcW w:w="7852" w:type="dxa"/>
            <w:gridSpan w:val="4"/>
          </w:tcPr>
          <w:p w14:paraId="774594D1">
            <w:pPr>
              <w:spacing w:line="480" w:lineRule="exact"/>
              <w:rPr>
                <w:szCs w:val="21"/>
              </w:rPr>
            </w:pPr>
          </w:p>
        </w:tc>
      </w:tr>
      <w:tr w14:paraId="20FA4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72" w:hRule="atLeast"/>
          <w:jc w:val="center"/>
        </w:trPr>
        <w:tc>
          <w:tcPr>
            <w:tcW w:w="750" w:type="dxa"/>
            <w:textDirection w:val="tbRlV"/>
          </w:tcPr>
          <w:p w14:paraId="7EB29C5B">
            <w:pPr>
              <w:spacing w:line="480" w:lineRule="exact"/>
              <w:ind w:left="113" w:right="113"/>
              <w:jc w:val="center"/>
              <w:rPr>
                <w:b/>
                <w:szCs w:val="21"/>
              </w:rPr>
            </w:pPr>
            <w:r>
              <w:rPr>
                <w:rFonts w:hint="eastAsia"/>
                <w:b/>
                <w:szCs w:val="21"/>
              </w:rPr>
              <w:t>组织架构</w:t>
            </w:r>
          </w:p>
        </w:tc>
        <w:tc>
          <w:tcPr>
            <w:tcW w:w="7852" w:type="dxa"/>
            <w:gridSpan w:val="4"/>
          </w:tcPr>
          <w:p w14:paraId="25253F4E">
            <w:pPr>
              <w:spacing w:line="480" w:lineRule="exact"/>
              <w:rPr>
                <w:szCs w:val="21"/>
              </w:rPr>
            </w:pPr>
          </w:p>
        </w:tc>
      </w:tr>
      <w:tr w14:paraId="4B536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6" w:hRule="atLeast"/>
          <w:jc w:val="center"/>
        </w:trPr>
        <w:tc>
          <w:tcPr>
            <w:tcW w:w="750" w:type="dxa"/>
            <w:textDirection w:val="tbRlV"/>
          </w:tcPr>
          <w:p w14:paraId="3D10E483">
            <w:pPr>
              <w:spacing w:line="480" w:lineRule="exact"/>
              <w:ind w:left="113" w:right="113"/>
              <w:jc w:val="center"/>
              <w:rPr>
                <w:b/>
                <w:szCs w:val="21"/>
              </w:rPr>
            </w:pPr>
            <w:r>
              <w:rPr>
                <w:rFonts w:hint="eastAsia"/>
                <w:b/>
                <w:szCs w:val="21"/>
              </w:rPr>
              <w:t>公司简介</w:t>
            </w:r>
          </w:p>
        </w:tc>
        <w:tc>
          <w:tcPr>
            <w:tcW w:w="7852" w:type="dxa"/>
            <w:gridSpan w:val="4"/>
          </w:tcPr>
          <w:p w14:paraId="4C1B3880">
            <w:pPr>
              <w:spacing w:line="480" w:lineRule="exact"/>
              <w:rPr>
                <w:szCs w:val="21"/>
              </w:rPr>
            </w:pPr>
            <w:r>
              <w:rPr>
                <w:rFonts w:hint="eastAsia"/>
                <w:szCs w:val="21"/>
              </w:rPr>
              <w:t>格式自拟，可在表格以外另附</w:t>
            </w:r>
          </w:p>
        </w:tc>
      </w:tr>
    </w:tbl>
    <w:p w14:paraId="59D18DB2"/>
    <w:p w14:paraId="5735DAB3">
      <w:r>
        <w:rPr>
          <w:rFonts w:hint="eastAsia"/>
        </w:rPr>
        <w:t>附：法定代表人授权书（非法定代表人为授权代表时提供，格式自拟）。</w:t>
      </w:r>
    </w:p>
    <w:p w14:paraId="4813FA97"/>
    <w:p w14:paraId="16C63643">
      <w:pPr>
        <w:widowControl/>
        <w:jc w:val="left"/>
        <w:rPr>
          <w:rFonts w:ascii="仿宋_GB2312" w:hAnsi="仿宋_GB2312" w:eastAsia="仿宋_GB2312" w:cs="仿宋_GB2312"/>
          <w:sz w:val="32"/>
          <w:szCs w:val="40"/>
        </w:rPr>
        <w:sectPr>
          <w:pgSz w:w="11906" w:h="16838"/>
          <w:pgMar w:top="1440" w:right="1800" w:bottom="1440" w:left="1800" w:header="851" w:footer="992" w:gutter="0"/>
          <w:cols w:space="425" w:num="1"/>
          <w:docGrid w:type="lines" w:linePitch="312" w:charSpace="0"/>
        </w:sectPr>
      </w:pPr>
    </w:p>
    <w:p w14:paraId="185F7ABA">
      <w:pPr>
        <w:pStyle w:val="2"/>
        <w:spacing w:before="0" w:after="0" w:line="240" w:lineRule="auto"/>
        <w:rPr>
          <w:rFonts w:ascii="黑体" w:hAnsi="黑体" w:eastAsia="黑体" w:cs="黑体"/>
          <w:b w:val="0"/>
          <w:bCs w:val="0"/>
          <w:sz w:val="28"/>
          <w:szCs w:val="28"/>
        </w:rPr>
      </w:pPr>
      <w:r>
        <w:rPr>
          <w:rFonts w:hint="eastAsia" w:ascii="黑体" w:hAnsi="黑体" w:eastAsia="黑体" w:cs="黑体"/>
          <w:b w:val="0"/>
          <w:bCs w:val="0"/>
          <w:sz w:val="28"/>
          <w:szCs w:val="28"/>
        </w:rPr>
        <w:t>附件</w:t>
      </w:r>
      <w:r>
        <w:rPr>
          <w:rFonts w:ascii="黑体" w:hAnsi="黑体" w:eastAsia="黑体" w:cs="黑体"/>
          <w:b w:val="0"/>
          <w:bCs w:val="0"/>
          <w:sz w:val="28"/>
          <w:szCs w:val="28"/>
        </w:rPr>
        <w:t>2</w:t>
      </w:r>
      <w:r>
        <w:rPr>
          <w:rFonts w:hint="eastAsia" w:ascii="黑体" w:hAnsi="黑体" w:eastAsia="黑体" w:cs="黑体"/>
          <w:b w:val="0"/>
          <w:bCs w:val="0"/>
          <w:sz w:val="28"/>
          <w:szCs w:val="28"/>
        </w:rPr>
        <w:t xml:space="preserve"> 承诺函</w:t>
      </w:r>
    </w:p>
    <w:p w14:paraId="21F3F0F6">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承诺函</w:t>
      </w:r>
    </w:p>
    <w:p w14:paraId="266FDA78">
      <w:pPr>
        <w:spacing w:line="360" w:lineRule="auto"/>
        <w:rPr>
          <w:rFonts w:ascii="宋体" w:hAnsi="宋体"/>
          <w:szCs w:val="21"/>
          <w:u w:val="single"/>
        </w:rPr>
      </w:pPr>
    </w:p>
    <w:p w14:paraId="2C1D03EA">
      <w:pPr>
        <w:spacing w:line="360" w:lineRule="auto"/>
        <w:rPr>
          <w:rFonts w:ascii="宋体" w:hAnsi="宋体"/>
          <w:szCs w:val="21"/>
        </w:rPr>
      </w:pPr>
      <w:r>
        <w:rPr>
          <w:rFonts w:hint="eastAsia" w:ascii="宋体" w:hAnsi="宋体"/>
          <w:szCs w:val="21"/>
          <w:u w:val="single"/>
        </w:rPr>
        <w:t>广西绿城水务股份有限公司</w:t>
      </w:r>
      <w:r>
        <w:rPr>
          <w:rFonts w:hint="eastAsia" w:ascii="宋体" w:hAnsi="宋体"/>
          <w:szCs w:val="21"/>
        </w:rPr>
        <w:t>：</w:t>
      </w:r>
    </w:p>
    <w:p w14:paraId="702BE512">
      <w:pPr>
        <w:spacing w:line="360" w:lineRule="auto"/>
        <w:ind w:firstLine="420" w:firstLineChars="200"/>
        <w:rPr>
          <w:rFonts w:ascii="宋体" w:hAnsi="宋体"/>
          <w:szCs w:val="21"/>
        </w:rPr>
      </w:pPr>
      <w:r>
        <w:rPr>
          <w:rFonts w:hint="eastAsia" w:ascii="宋体" w:hAnsi="宋体"/>
          <w:szCs w:val="21"/>
        </w:rPr>
        <w:t>我司【公司名称】现特响应贵司常年投资顾问选聘公告（主要选聘内容为针对拟投资项目开展投资可行性评估、风险评估分析工作，针对指定项目开展投资收益情况财务分析工作，以及日常投融资相关咨询支持等）。</w:t>
      </w:r>
    </w:p>
    <w:p w14:paraId="5EFFE52A">
      <w:pPr>
        <w:spacing w:line="360" w:lineRule="auto"/>
        <w:ind w:firstLine="420" w:firstLineChars="200"/>
        <w:rPr>
          <w:rFonts w:ascii="宋体" w:hAnsi="宋体"/>
          <w:szCs w:val="21"/>
        </w:rPr>
      </w:pPr>
      <w:r>
        <w:rPr>
          <w:rFonts w:hint="eastAsia" w:ascii="宋体" w:hAnsi="宋体"/>
          <w:szCs w:val="21"/>
        </w:rPr>
        <w:t>根据选聘公告要求，我司承诺如下：</w:t>
      </w:r>
    </w:p>
    <w:p w14:paraId="1A075F64">
      <w:pPr>
        <w:pStyle w:val="12"/>
        <w:numPr>
          <w:ilvl w:val="0"/>
          <w:numId w:val="3"/>
        </w:numPr>
        <w:spacing w:line="360" w:lineRule="auto"/>
        <w:ind w:firstLineChars="0"/>
        <w:rPr>
          <w:rFonts w:ascii="宋体" w:hAnsi="宋体"/>
          <w:szCs w:val="21"/>
        </w:rPr>
      </w:pPr>
      <w:r>
        <w:rPr>
          <w:rFonts w:hint="eastAsia" w:ascii="宋体" w:hAnsi="宋体"/>
          <w:szCs w:val="21"/>
        </w:rPr>
        <w:t>依法设立并正常经营，具备合同长期履行能力，有能力组建本项目服务团队；</w:t>
      </w:r>
    </w:p>
    <w:p w14:paraId="27E33EB8">
      <w:pPr>
        <w:pStyle w:val="12"/>
        <w:numPr>
          <w:ilvl w:val="0"/>
          <w:numId w:val="3"/>
        </w:numPr>
        <w:spacing w:line="360" w:lineRule="auto"/>
        <w:ind w:firstLineChars="0"/>
        <w:rPr>
          <w:rFonts w:ascii="宋体" w:hAnsi="宋体"/>
          <w:szCs w:val="21"/>
        </w:rPr>
      </w:pPr>
      <w:bookmarkStart w:id="0" w:name="_Hlk167700334"/>
      <w:r>
        <w:rPr>
          <w:rFonts w:hint="eastAsia" w:ascii="宋体" w:hAnsi="宋体"/>
          <w:szCs w:val="21"/>
        </w:rPr>
        <w:t>具有独立承担民事责任的能力；</w:t>
      </w:r>
    </w:p>
    <w:p w14:paraId="53E9E5F2">
      <w:pPr>
        <w:pStyle w:val="12"/>
        <w:numPr>
          <w:ilvl w:val="0"/>
          <w:numId w:val="3"/>
        </w:numPr>
        <w:spacing w:line="360" w:lineRule="auto"/>
        <w:ind w:firstLineChars="0"/>
        <w:rPr>
          <w:rFonts w:ascii="宋体" w:hAnsi="宋体"/>
          <w:szCs w:val="21"/>
        </w:rPr>
      </w:pPr>
      <w:r>
        <w:rPr>
          <w:rFonts w:hint="eastAsia" w:ascii="宋体" w:hAnsi="宋体"/>
          <w:szCs w:val="21"/>
        </w:rPr>
        <w:t>具有良好的商业信誉和健全的财务会计制度；</w:t>
      </w:r>
    </w:p>
    <w:p w14:paraId="4F274B3B">
      <w:pPr>
        <w:pStyle w:val="12"/>
        <w:numPr>
          <w:ilvl w:val="0"/>
          <w:numId w:val="3"/>
        </w:numPr>
        <w:spacing w:line="360" w:lineRule="auto"/>
        <w:ind w:firstLineChars="0"/>
        <w:rPr>
          <w:rFonts w:ascii="宋体" w:hAnsi="宋体"/>
          <w:szCs w:val="21"/>
        </w:rPr>
      </w:pPr>
      <w:r>
        <w:rPr>
          <w:rFonts w:hint="eastAsia" w:ascii="宋体" w:hAnsi="宋体"/>
          <w:szCs w:val="21"/>
        </w:rPr>
        <w:t>具有履行合同所必需的设备和专业技术能力；</w:t>
      </w:r>
    </w:p>
    <w:p w14:paraId="317DF9DD">
      <w:pPr>
        <w:pStyle w:val="12"/>
        <w:numPr>
          <w:ilvl w:val="0"/>
          <w:numId w:val="3"/>
        </w:numPr>
        <w:spacing w:line="360" w:lineRule="auto"/>
        <w:ind w:firstLineChars="0"/>
        <w:rPr>
          <w:rFonts w:ascii="宋体" w:hAnsi="宋体"/>
          <w:szCs w:val="21"/>
        </w:rPr>
      </w:pPr>
      <w:r>
        <w:rPr>
          <w:rFonts w:hint="eastAsia" w:ascii="宋体" w:hAnsi="宋体"/>
          <w:szCs w:val="21"/>
        </w:rPr>
        <w:t>参加本次选聘活动前三年内，在经营活动中没有重大违法记录</w:t>
      </w:r>
      <w:bookmarkEnd w:id="0"/>
      <w:r>
        <w:rPr>
          <w:rFonts w:hint="eastAsia" w:ascii="宋体" w:hAnsi="宋体"/>
          <w:szCs w:val="21"/>
        </w:rPr>
        <w:t>；</w:t>
      </w:r>
    </w:p>
    <w:p w14:paraId="48E76E8C">
      <w:pPr>
        <w:pStyle w:val="12"/>
        <w:numPr>
          <w:ilvl w:val="0"/>
          <w:numId w:val="3"/>
        </w:numPr>
        <w:spacing w:line="360" w:lineRule="auto"/>
        <w:ind w:firstLineChars="0"/>
        <w:rPr>
          <w:rFonts w:ascii="宋体" w:hAnsi="宋体"/>
          <w:szCs w:val="21"/>
        </w:rPr>
      </w:pPr>
      <w:r>
        <w:rPr>
          <w:rFonts w:hint="eastAsia" w:ascii="宋体" w:hAnsi="宋体"/>
          <w:szCs w:val="21"/>
        </w:rPr>
        <w:t>接受本次选聘活动规则，满足本次选聘活动的有关实质性要求；</w:t>
      </w:r>
    </w:p>
    <w:p w14:paraId="7188D3D6">
      <w:pPr>
        <w:pStyle w:val="12"/>
        <w:numPr>
          <w:ilvl w:val="0"/>
          <w:numId w:val="3"/>
        </w:numPr>
        <w:spacing w:line="360" w:lineRule="auto"/>
        <w:ind w:firstLineChars="0"/>
        <w:rPr>
          <w:rFonts w:ascii="宋体" w:hAnsi="宋体"/>
          <w:szCs w:val="21"/>
        </w:rPr>
      </w:pPr>
      <w:r>
        <w:rPr>
          <w:rFonts w:hint="eastAsia" w:ascii="宋体" w:hAnsi="宋体"/>
          <w:szCs w:val="21"/>
        </w:rPr>
        <w:t>不存在与法定代表人或单位负责人为同一人或者存在直接控股（控股比例50%以上）、管理关系的其他竞选人同时参加本项目竞争选聘的行为。</w:t>
      </w:r>
    </w:p>
    <w:p w14:paraId="2933B6EC">
      <w:pPr>
        <w:spacing w:line="360" w:lineRule="auto"/>
        <w:ind w:firstLine="420" w:firstLineChars="200"/>
        <w:rPr>
          <w:rFonts w:ascii="宋体" w:hAnsi="宋体"/>
          <w:szCs w:val="21"/>
        </w:rPr>
      </w:pPr>
    </w:p>
    <w:p w14:paraId="3FFD5114">
      <w:pPr>
        <w:spacing w:line="360" w:lineRule="auto"/>
        <w:ind w:firstLine="420" w:firstLineChars="200"/>
        <w:rPr>
          <w:rFonts w:ascii="宋体" w:hAnsi="宋体"/>
          <w:szCs w:val="21"/>
        </w:rPr>
      </w:pPr>
      <w:r>
        <w:rPr>
          <w:rFonts w:hint="eastAsia" w:ascii="宋体" w:hAnsi="宋体"/>
          <w:szCs w:val="21"/>
        </w:rPr>
        <w:t>我司对上述承诺的内容事项真实性负责，如经查实存在虚假情形的，由我司自行承担相应法律责任。</w:t>
      </w:r>
    </w:p>
    <w:p w14:paraId="741C41D5">
      <w:pPr>
        <w:spacing w:line="360" w:lineRule="auto"/>
        <w:rPr>
          <w:rFonts w:ascii="宋体" w:hAnsi="宋体"/>
          <w:szCs w:val="21"/>
        </w:rPr>
      </w:pPr>
    </w:p>
    <w:p w14:paraId="7B1672D9">
      <w:pPr>
        <w:ind w:left="4410" w:right="1075" w:rightChars="512" w:firstLine="420"/>
      </w:pPr>
      <w:r>
        <w:rPr>
          <w:rFonts w:hint="eastAsia"/>
        </w:rPr>
        <w:t>参选单位（盖章）：</w:t>
      </w:r>
    </w:p>
    <w:p w14:paraId="2740F362">
      <w:pPr>
        <w:ind w:left="4410" w:right="1075" w:rightChars="512" w:firstLine="420"/>
      </w:pPr>
    </w:p>
    <w:p w14:paraId="01C5B685">
      <w:pPr>
        <w:ind w:left="4410" w:right="1075" w:rightChars="512" w:firstLine="420"/>
      </w:pPr>
    </w:p>
    <w:p w14:paraId="18F7BD79">
      <w:pPr>
        <w:ind w:right="19" w:firstLine="4830" w:firstLineChars="230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14:paraId="732C846D">
      <w:pPr>
        <w:widowControl/>
        <w:jc w:val="left"/>
      </w:pPr>
      <w:r>
        <w:br w:type="page"/>
      </w:r>
    </w:p>
    <w:p w14:paraId="0DE146A8">
      <w:pPr>
        <w:pStyle w:val="2"/>
        <w:spacing w:before="0" w:after="0" w:line="240" w:lineRule="auto"/>
        <w:rPr>
          <w:rFonts w:ascii="黑体" w:hAnsi="黑体" w:eastAsia="黑体" w:cs="黑体"/>
          <w:b w:val="0"/>
          <w:bCs w:val="0"/>
          <w:sz w:val="28"/>
          <w:szCs w:val="28"/>
        </w:rPr>
      </w:pPr>
      <w:r>
        <w:rPr>
          <w:rFonts w:hint="eastAsia" w:ascii="黑体" w:hAnsi="黑体" w:eastAsia="黑体" w:cs="黑体"/>
          <w:b w:val="0"/>
          <w:bCs w:val="0"/>
          <w:sz w:val="28"/>
          <w:szCs w:val="28"/>
        </w:rPr>
        <w:t>附件3 业绩表</w:t>
      </w:r>
    </w:p>
    <w:p w14:paraId="166054A7">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竞选</w:t>
      </w:r>
      <w:r>
        <w:rPr>
          <w:rFonts w:hint="eastAsia" w:ascii="方正小标宋简体" w:hAnsi="方正小标宋简体" w:eastAsia="方正小标宋简体" w:cs="方正小标宋简体"/>
          <w:sz w:val="36"/>
          <w:szCs w:val="36"/>
        </w:rPr>
        <w:t>人主要业绩一览表</w:t>
      </w:r>
    </w:p>
    <w:tbl>
      <w:tblPr>
        <w:tblStyle w:val="8"/>
        <w:tblW w:w="8554" w:type="dxa"/>
        <w:jc w:val="center"/>
        <w:tblLayout w:type="fixed"/>
        <w:tblCellMar>
          <w:top w:w="0" w:type="dxa"/>
          <w:left w:w="108" w:type="dxa"/>
          <w:bottom w:w="0" w:type="dxa"/>
          <w:right w:w="108" w:type="dxa"/>
        </w:tblCellMar>
      </w:tblPr>
      <w:tblGrid>
        <w:gridCol w:w="741"/>
        <w:gridCol w:w="1793"/>
        <w:gridCol w:w="6020"/>
      </w:tblGrid>
      <w:tr w14:paraId="054FB13E">
        <w:tblPrEx>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vAlign w:val="center"/>
          </w:tcPr>
          <w:p w14:paraId="089C584C">
            <w:pPr>
              <w:spacing w:line="360" w:lineRule="auto"/>
              <w:jc w:val="center"/>
              <w:rPr>
                <w:rFonts w:ascii="宋体" w:hAnsi="宋体"/>
                <w:szCs w:val="21"/>
              </w:rPr>
            </w:pPr>
            <w:r>
              <w:rPr>
                <w:rFonts w:hint="eastAsia" w:ascii="宋体" w:hAnsi="宋体" w:cs="仿宋"/>
                <w:szCs w:val="21"/>
              </w:rPr>
              <w:t>序号</w:t>
            </w:r>
          </w:p>
        </w:tc>
        <w:tc>
          <w:tcPr>
            <w:tcW w:w="1793" w:type="dxa"/>
            <w:tcBorders>
              <w:top w:val="single" w:color="auto" w:sz="4" w:space="0"/>
              <w:left w:val="nil"/>
              <w:bottom w:val="single" w:color="auto" w:sz="4" w:space="0"/>
              <w:right w:val="single" w:color="auto" w:sz="4" w:space="0"/>
            </w:tcBorders>
            <w:vAlign w:val="center"/>
          </w:tcPr>
          <w:p w14:paraId="70F415FA">
            <w:pPr>
              <w:spacing w:line="360" w:lineRule="auto"/>
              <w:ind w:left="-69" w:leftChars="-33" w:right="-94" w:rightChars="-45"/>
              <w:jc w:val="center"/>
              <w:rPr>
                <w:rFonts w:ascii="宋体" w:hAnsi="宋体"/>
                <w:szCs w:val="21"/>
              </w:rPr>
            </w:pPr>
            <w:r>
              <w:rPr>
                <w:rFonts w:hint="eastAsia" w:ascii="宋体" w:hAnsi="宋体" w:cs="仿宋"/>
                <w:szCs w:val="21"/>
              </w:rPr>
              <w:t>委托方</w:t>
            </w:r>
          </w:p>
        </w:tc>
        <w:tc>
          <w:tcPr>
            <w:tcW w:w="6020" w:type="dxa"/>
            <w:tcBorders>
              <w:top w:val="single" w:color="auto" w:sz="4" w:space="0"/>
              <w:left w:val="nil"/>
              <w:bottom w:val="single" w:color="auto" w:sz="4" w:space="0"/>
              <w:right w:val="single" w:color="auto" w:sz="4" w:space="0"/>
            </w:tcBorders>
            <w:vAlign w:val="center"/>
          </w:tcPr>
          <w:p w14:paraId="5EFC04C4">
            <w:pPr>
              <w:spacing w:line="360" w:lineRule="auto"/>
              <w:jc w:val="center"/>
              <w:rPr>
                <w:rFonts w:ascii="宋体" w:hAnsi="宋体"/>
                <w:szCs w:val="21"/>
              </w:rPr>
            </w:pPr>
            <w:r>
              <w:rPr>
                <w:rFonts w:hint="eastAsia" w:ascii="宋体" w:hAnsi="宋体" w:cs="仿宋"/>
                <w:szCs w:val="21"/>
              </w:rPr>
              <w:t>项目名称</w:t>
            </w:r>
          </w:p>
        </w:tc>
      </w:tr>
      <w:tr w14:paraId="270F1E58">
        <w:tblPrEx>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vAlign w:val="center"/>
          </w:tcPr>
          <w:p w14:paraId="5D4F496D">
            <w:pPr>
              <w:spacing w:line="360" w:lineRule="auto"/>
              <w:jc w:val="center"/>
              <w:rPr>
                <w:rFonts w:ascii="宋体" w:hAnsi="宋体"/>
                <w:szCs w:val="21"/>
              </w:rPr>
            </w:pPr>
            <w:r>
              <w:rPr>
                <w:rFonts w:ascii="宋体" w:hAnsi="宋体" w:cs="仿宋"/>
                <w:szCs w:val="21"/>
              </w:rPr>
              <w:t>1</w:t>
            </w:r>
          </w:p>
        </w:tc>
        <w:tc>
          <w:tcPr>
            <w:tcW w:w="1793" w:type="dxa"/>
            <w:tcBorders>
              <w:top w:val="single" w:color="auto" w:sz="4" w:space="0"/>
              <w:left w:val="nil"/>
              <w:bottom w:val="single" w:color="auto" w:sz="4" w:space="0"/>
              <w:right w:val="single" w:color="auto" w:sz="4" w:space="0"/>
            </w:tcBorders>
            <w:vAlign w:val="center"/>
          </w:tcPr>
          <w:p w14:paraId="45C0B363">
            <w:pPr>
              <w:spacing w:line="360" w:lineRule="auto"/>
              <w:jc w:val="center"/>
              <w:rPr>
                <w:rFonts w:ascii="宋体" w:hAnsi="宋体"/>
                <w:szCs w:val="21"/>
              </w:rPr>
            </w:pPr>
          </w:p>
        </w:tc>
        <w:tc>
          <w:tcPr>
            <w:tcW w:w="6020" w:type="dxa"/>
            <w:tcBorders>
              <w:top w:val="single" w:color="auto" w:sz="4" w:space="0"/>
              <w:left w:val="nil"/>
              <w:bottom w:val="single" w:color="auto" w:sz="4" w:space="0"/>
              <w:right w:val="single" w:color="auto" w:sz="4" w:space="0"/>
            </w:tcBorders>
            <w:vAlign w:val="center"/>
          </w:tcPr>
          <w:p w14:paraId="0CAEC02C">
            <w:pPr>
              <w:spacing w:line="360" w:lineRule="auto"/>
              <w:jc w:val="center"/>
              <w:rPr>
                <w:rFonts w:ascii="宋体" w:hAnsi="宋体"/>
                <w:szCs w:val="21"/>
              </w:rPr>
            </w:pPr>
          </w:p>
        </w:tc>
      </w:tr>
      <w:tr w14:paraId="514D2505">
        <w:tblPrEx>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vAlign w:val="center"/>
          </w:tcPr>
          <w:p w14:paraId="0A0BDEF4">
            <w:pPr>
              <w:spacing w:line="360" w:lineRule="auto"/>
              <w:jc w:val="center"/>
              <w:rPr>
                <w:rFonts w:ascii="宋体" w:hAnsi="宋体"/>
                <w:szCs w:val="21"/>
              </w:rPr>
            </w:pPr>
            <w:r>
              <w:rPr>
                <w:rFonts w:ascii="宋体" w:hAnsi="宋体" w:cs="仿宋"/>
                <w:szCs w:val="21"/>
              </w:rPr>
              <w:t>2</w:t>
            </w:r>
          </w:p>
        </w:tc>
        <w:tc>
          <w:tcPr>
            <w:tcW w:w="1793" w:type="dxa"/>
            <w:tcBorders>
              <w:top w:val="single" w:color="auto" w:sz="4" w:space="0"/>
              <w:left w:val="nil"/>
              <w:bottom w:val="single" w:color="auto" w:sz="4" w:space="0"/>
              <w:right w:val="single" w:color="auto" w:sz="4" w:space="0"/>
            </w:tcBorders>
            <w:vAlign w:val="center"/>
          </w:tcPr>
          <w:p w14:paraId="0474E6F9">
            <w:pPr>
              <w:spacing w:line="360" w:lineRule="auto"/>
              <w:jc w:val="center"/>
              <w:rPr>
                <w:rFonts w:ascii="宋体" w:hAnsi="宋体"/>
                <w:szCs w:val="21"/>
              </w:rPr>
            </w:pPr>
          </w:p>
        </w:tc>
        <w:tc>
          <w:tcPr>
            <w:tcW w:w="6020" w:type="dxa"/>
            <w:tcBorders>
              <w:top w:val="single" w:color="auto" w:sz="4" w:space="0"/>
              <w:left w:val="nil"/>
              <w:bottom w:val="single" w:color="auto" w:sz="4" w:space="0"/>
              <w:right w:val="single" w:color="auto" w:sz="4" w:space="0"/>
            </w:tcBorders>
            <w:vAlign w:val="center"/>
          </w:tcPr>
          <w:p w14:paraId="13CD9801">
            <w:pPr>
              <w:spacing w:line="360" w:lineRule="auto"/>
              <w:jc w:val="center"/>
              <w:rPr>
                <w:rFonts w:ascii="宋体" w:hAnsi="宋体"/>
                <w:szCs w:val="21"/>
              </w:rPr>
            </w:pPr>
          </w:p>
        </w:tc>
      </w:tr>
      <w:tr w14:paraId="71A4BEAF">
        <w:tblPrEx>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vAlign w:val="center"/>
          </w:tcPr>
          <w:p w14:paraId="179215AC">
            <w:pPr>
              <w:spacing w:line="360" w:lineRule="auto"/>
              <w:jc w:val="center"/>
              <w:rPr>
                <w:rFonts w:ascii="宋体" w:hAnsi="宋体" w:cs="仿宋"/>
                <w:szCs w:val="21"/>
              </w:rPr>
            </w:pPr>
            <w:r>
              <w:rPr>
                <w:rFonts w:hint="eastAsia" w:ascii="宋体" w:hAnsi="宋体" w:cs="仿宋"/>
                <w:szCs w:val="21"/>
              </w:rPr>
              <w:t>3</w:t>
            </w:r>
          </w:p>
        </w:tc>
        <w:tc>
          <w:tcPr>
            <w:tcW w:w="1793" w:type="dxa"/>
            <w:tcBorders>
              <w:top w:val="single" w:color="auto" w:sz="4" w:space="0"/>
              <w:left w:val="nil"/>
              <w:bottom w:val="single" w:color="auto" w:sz="4" w:space="0"/>
              <w:right w:val="single" w:color="auto" w:sz="4" w:space="0"/>
            </w:tcBorders>
            <w:vAlign w:val="center"/>
          </w:tcPr>
          <w:p w14:paraId="5A562DB1">
            <w:pPr>
              <w:spacing w:line="360" w:lineRule="auto"/>
              <w:jc w:val="center"/>
              <w:rPr>
                <w:rFonts w:ascii="宋体" w:hAnsi="宋体"/>
                <w:szCs w:val="21"/>
              </w:rPr>
            </w:pPr>
          </w:p>
        </w:tc>
        <w:tc>
          <w:tcPr>
            <w:tcW w:w="6020" w:type="dxa"/>
            <w:tcBorders>
              <w:top w:val="single" w:color="auto" w:sz="4" w:space="0"/>
              <w:left w:val="nil"/>
              <w:bottom w:val="single" w:color="auto" w:sz="4" w:space="0"/>
              <w:right w:val="single" w:color="auto" w:sz="4" w:space="0"/>
            </w:tcBorders>
            <w:vAlign w:val="center"/>
          </w:tcPr>
          <w:p w14:paraId="3723C0B5">
            <w:pPr>
              <w:spacing w:line="360" w:lineRule="auto"/>
              <w:jc w:val="center"/>
              <w:rPr>
                <w:rFonts w:ascii="宋体" w:hAnsi="宋体"/>
                <w:szCs w:val="21"/>
              </w:rPr>
            </w:pPr>
          </w:p>
        </w:tc>
      </w:tr>
      <w:tr w14:paraId="0CC204AB">
        <w:tblPrEx>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vAlign w:val="center"/>
          </w:tcPr>
          <w:p w14:paraId="58344518">
            <w:pPr>
              <w:spacing w:line="360" w:lineRule="auto"/>
              <w:jc w:val="center"/>
              <w:rPr>
                <w:rFonts w:ascii="宋体" w:hAnsi="宋体" w:cs="仿宋"/>
                <w:szCs w:val="21"/>
              </w:rPr>
            </w:pPr>
            <w:r>
              <w:rPr>
                <w:rFonts w:hint="eastAsia" w:ascii="宋体" w:hAnsi="宋体" w:cs="仿宋"/>
                <w:szCs w:val="21"/>
              </w:rPr>
              <w:t>……</w:t>
            </w:r>
          </w:p>
        </w:tc>
        <w:tc>
          <w:tcPr>
            <w:tcW w:w="1793" w:type="dxa"/>
            <w:tcBorders>
              <w:top w:val="single" w:color="auto" w:sz="4" w:space="0"/>
              <w:left w:val="nil"/>
              <w:bottom w:val="single" w:color="auto" w:sz="4" w:space="0"/>
              <w:right w:val="single" w:color="auto" w:sz="4" w:space="0"/>
            </w:tcBorders>
            <w:vAlign w:val="center"/>
          </w:tcPr>
          <w:p w14:paraId="684B9DEE">
            <w:pPr>
              <w:spacing w:line="360" w:lineRule="auto"/>
              <w:jc w:val="center"/>
              <w:rPr>
                <w:rFonts w:ascii="宋体" w:hAnsi="宋体"/>
                <w:szCs w:val="21"/>
              </w:rPr>
            </w:pPr>
          </w:p>
        </w:tc>
        <w:tc>
          <w:tcPr>
            <w:tcW w:w="6020" w:type="dxa"/>
            <w:tcBorders>
              <w:top w:val="single" w:color="auto" w:sz="4" w:space="0"/>
              <w:left w:val="nil"/>
              <w:bottom w:val="single" w:color="auto" w:sz="4" w:space="0"/>
              <w:right w:val="single" w:color="auto" w:sz="4" w:space="0"/>
            </w:tcBorders>
            <w:vAlign w:val="center"/>
          </w:tcPr>
          <w:p w14:paraId="37F6A919">
            <w:pPr>
              <w:spacing w:line="360" w:lineRule="auto"/>
              <w:jc w:val="center"/>
              <w:rPr>
                <w:rFonts w:ascii="宋体" w:hAnsi="宋体"/>
                <w:szCs w:val="21"/>
              </w:rPr>
            </w:pPr>
          </w:p>
        </w:tc>
      </w:tr>
    </w:tbl>
    <w:p w14:paraId="0A39CCC5">
      <w:r>
        <w:rPr>
          <w:rFonts w:hint="eastAsia"/>
        </w:rPr>
        <w:t>附：业绩证明资料</w:t>
      </w:r>
    </w:p>
    <w:p w14:paraId="66716154"/>
    <w:p w14:paraId="26AFC376">
      <w:pPr>
        <w:ind w:left="4410" w:right="1075" w:rightChars="512" w:firstLine="420"/>
      </w:pPr>
      <w:r>
        <w:rPr>
          <w:rFonts w:hint="eastAsia"/>
        </w:rPr>
        <w:t>参选单位（盖章）：</w:t>
      </w:r>
    </w:p>
    <w:p w14:paraId="3FEA4794">
      <w:pPr>
        <w:ind w:left="4410" w:right="1075" w:rightChars="512" w:firstLine="420"/>
      </w:pPr>
    </w:p>
    <w:p w14:paraId="19C8DE12">
      <w:pPr>
        <w:ind w:left="4410" w:right="1075" w:rightChars="512" w:firstLine="420"/>
      </w:pPr>
    </w:p>
    <w:p w14:paraId="49FC2231">
      <w:pPr>
        <w:ind w:right="19" w:firstLine="4830" w:firstLineChars="230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14:paraId="68B8A0D8"/>
    <w:p w14:paraId="0DFF5FA7"/>
    <w:p w14:paraId="190553B3">
      <w:pPr>
        <w:widowControl/>
        <w:jc w:val="left"/>
      </w:pPr>
      <w:r>
        <w:br w:type="page"/>
      </w:r>
    </w:p>
    <w:p w14:paraId="7C68BF2F">
      <w:pPr>
        <w:pStyle w:val="2"/>
        <w:spacing w:before="0" w:after="0" w:line="240" w:lineRule="auto"/>
        <w:rPr>
          <w:rFonts w:ascii="黑体" w:hAnsi="黑体" w:eastAsia="黑体" w:cs="黑体"/>
          <w:b w:val="0"/>
          <w:bCs w:val="0"/>
          <w:sz w:val="28"/>
          <w:szCs w:val="28"/>
        </w:rPr>
      </w:pPr>
      <w:r>
        <w:rPr>
          <w:rFonts w:hint="eastAsia" w:ascii="黑体" w:hAnsi="黑体" w:eastAsia="黑体" w:cs="黑体"/>
          <w:b w:val="0"/>
          <w:bCs w:val="0"/>
          <w:sz w:val="28"/>
          <w:szCs w:val="28"/>
        </w:rPr>
        <w:t>附件4 响应表</w:t>
      </w:r>
    </w:p>
    <w:p w14:paraId="597B6103">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服务需求响应表</w:t>
      </w:r>
    </w:p>
    <w:tbl>
      <w:tblPr>
        <w:tblStyle w:val="8"/>
        <w:tblW w:w="8957" w:type="dxa"/>
        <w:jc w:val="center"/>
        <w:tblLayout w:type="fixed"/>
        <w:tblCellMar>
          <w:top w:w="0" w:type="dxa"/>
          <w:left w:w="108" w:type="dxa"/>
          <w:bottom w:w="0" w:type="dxa"/>
          <w:right w:w="108" w:type="dxa"/>
        </w:tblCellMar>
      </w:tblPr>
      <w:tblGrid>
        <w:gridCol w:w="1858"/>
        <w:gridCol w:w="5812"/>
        <w:gridCol w:w="1287"/>
      </w:tblGrid>
      <w:tr w14:paraId="5D415F7F">
        <w:tblPrEx>
          <w:tblCellMar>
            <w:top w:w="0" w:type="dxa"/>
            <w:left w:w="108" w:type="dxa"/>
            <w:bottom w:w="0" w:type="dxa"/>
            <w:right w:w="108" w:type="dxa"/>
          </w:tblCellMar>
        </w:tblPrEx>
        <w:trPr>
          <w:jc w:val="center"/>
        </w:trPr>
        <w:tc>
          <w:tcPr>
            <w:tcW w:w="1858" w:type="dxa"/>
            <w:tcBorders>
              <w:top w:val="single" w:color="auto" w:sz="4" w:space="0"/>
              <w:left w:val="single" w:color="auto" w:sz="4" w:space="0"/>
              <w:bottom w:val="single" w:color="auto" w:sz="4" w:space="0"/>
              <w:right w:val="single" w:color="auto" w:sz="4" w:space="0"/>
            </w:tcBorders>
            <w:vAlign w:val="center"/>
          </w:tcPr>
          <w:p w14:paraId="6D45A281">
            <w:pPr>
              <w:spacing w:line="360" w:lineRule="auto"/>
              <w:ind w:right="21" w:rightChars="10"/>
              <w:jc w:val="center"/>
              <w:rPr>
                <w:rFonts w:ascii="宋体" w:hAnsi="宋体"/>
                <w:szCs w:val="21"/>
              </w:rPr>
            </w:pPr>
            <w:r>
              <w:rPr>
                <w:rFonts w:hint="eastAsia" w:ascii="宋体" w:hAnsi="宋体" w:cs="仿宋"/>
                <w:szCs w:val="21"/>
              </w:rPr>
              <w:t>项目</w:t>
            </w:r>
          </w:p>
        </w:tc>
        <w:tc>
          <w:tcPr>
            <w:tcW w:w="5812" w:type="dxa"/>
            <w:tcBorders>
              <w:top w:val="single" w:color="auto" w:sz="4" w:space="0"/>
              <w:left w:val="nil"/>
              <w:bottom w:val="single" w:color="auto" w:sz="4" w:space="0"/>
              <w:right w:val="single" w:color="auto" w:sz="4" w:space="0"/>
            </w:tcBorders>
            <w:vAlign w:val="center"/>
          </w:tcPr>
          <w:p w14:paraId="237816B7">
            <w:pPr>
              <w:spacing w:line="360" w:lineRule="auto"/>
              <w:ind w:right="21" w:rightChars="10"/>
              <w:jc w:val="center"/>
              <w:rPr>
                <w:rFonts w:ascii="宋体" w:hAnsi="宋体"/>
                <w:szCs w:val="21"/>
              </w:rPr>
            </w:pPr>
            <w:r>
              <w:rPr>
                <w:rFonts w:hint="eastAsia" w:ascii="宋体" w:hAnsi="宋体" w:cs="仿宋"/>
                <w:szCs w:val="21"/>
              </w:rPr>
              <w:t>响应内容</w:t>
            </w:r>
          </w:p>
        </w:tc>
        <w:tc>
          <w:tcPr>
            <w:tcW w:w="1287" w:type="dxa"/>
            <w:tcBorders>
              <w:top w:val="single" w:color="auto" w:sz="4" w:space="0"/>
              <w:left w:val="nil"/>
              <w:bottom w:val="single" w:color="auto" w:sz="4" w:space="0"/>
              <w:right w:val="single" w:color="auto" w:sz="4" w:space="0"/>
            </w:tcBorders>
            <w:vAlign w:val="center"/>
          </w:tcPr>
          <w:p w14:paraId="510C3B07">
            <w:pPr>
              <w:spacing w:line="360" w:lineRule="auto"/>
              <w:ind w:right="21" w:rightChars="10"/>
              <w:jc w:val="center"/>
              <w:rPr>
                <w:rFonts w:ascii="宋体" w:hAnsi="宋体"/>
                <w:szCs w:val="21"/>
              </w:rPr>
            </w:pPr>
            <w:r>
              <w:rPr>
                <w:rFonts w:hint="eastAsia" w:ascii="宋体" w:hAnsi="宋体" w:cs="仿宋"/>
                <w:szCs w:val="21"/>
              </w:rPr>
              <w:t>响应情况</w:t>
            </w:r>
          </w:p>
        </w:tc>
      </w:tr>
      <w:tr w14:paraId="18170486">
        <w:tblPrEx>
          <w:tblCellMar>
            <w:top w:w="0" w:type="dxa"/>
            <w:left w:w="108" w:type="dxa"/>
            <w:bottom w:w="0" w:type="dxa"/>
            <w:right w:w="108" w:type="dxa"/>
          </w:tblCellMar>
        </w:tblPrEx>
        <w:trPr>
          <w:jc w:val="center"/>
        </w:trPr>
        <w:tc>
          <w:tcPr>
            <w:tcW w:w="1858" w:type="dxa"/>
            <w:vMerge w:val="restart"/>
            <w:tcBorders>
              <w:top w:val="single" w:color="auto" w:sz="4" w:space="0"/>
              <w:left w:val="single" w:color="auto" w:sz="4" w:space="0"/>
              <w:right w:val="single" w:color="auto" w:sz="4" w:space="0"/>
            </w:tcBorders>
            <w:vAlign w:val="center"/>
          </w:tcPr>
          <w:p w14:paraId="2FF970D1">
            <w:pPr>
              <w:spacing w:line="360" w:lineRule="auto"/>
              <w:jc w:val="center"/>
              <w:rPr>
                <w:rFonts w:ascii="宋体" w:hAnsi="宋体"/>
                <w:szCs w:val="21"/>
              </w:rPr>
            </w:pPr>
            <w:r>
              <w:rPr>
                <w:rFonts w:hint="eastAsia" w:ascii="宋体" w:hAnsi="宋体"/>
                <w:szCs w:val="21"/>
              </w:rPr>
              <w:t>一、服务具体内容</w:t>
            </w:r>
          </w:p>
        </w:tc>
        <w:tc>
          <w:tcPr>
            <w:tcW w:w="5812" w:type="dxa"/>
            <w:tcBorders>
              <w:top w:val="single" w:color="auto" w:sz="4" w:space="0"/>
              <w:left w:val="nil"/>
              <w:bottom w:val="single" w:color="auto" w:sz="4" w:space="0"/>
              <w:right w:val="single" w:color="auto" w:sz="4" w:space="0"/>
            </w:tcBorders>
            <w:vAlign w:val="center"/>
          </w:tcPr>
          <w:p w14:paraId="0F69C810">
            <w:pPr>
              <w:pStyle w:val="14"/>
              <w:spacing w:line="360" w:lineRule="auto"/>
              <w:rPr>
                <w:rFonts w:hAnsi="宋体"/>
                <w:color w:val="auto"/>
                <w:sz w:val="21"/>
                <w:szCs w:val="21"/>
              </w:rPr>
            </w:pPr>
            <w:r>
              <w:rPr>
                <w:rFonts w:hint="eastAsia" w:hAnsi="宋体"/>
                <w:color w:val="auto"/>
                <w:sz w:val="21"/>
                <w:szCs w:val="21"/>
              </w:rPr>
              <w:t>（一）拟投资项目可行性研究及前期工作支持：针对公司本年度常年投资顾问服务范围内拟投资项目完成尽职调查；可行性评估、风险评估；编制可行性研究报告、风险评估报告（如需）；提供磋商谈判支持；以及就项目咨询服务过程中有关的财务、法务与商务问题提供咨询意见等（本年度数量为</w:t>
            </w:r>
            <w:r>
              <w:rPr>
                <w:rFonts w:hint="eastAsia" w:hAnsi="宋体"/>
                <w:color w:val="auto"/>
                <w:sz w:val="21"/>
                <w:szCs w:val="21"/>
                <w:lang w:val="en-US" w:eastAsia="zh-CN"/>
              </w:rPr>
              <w:t>2</w:t>
            </w:r>
            <w:r>
              <w:rPr>
                <w:rFonts w:hint="eastAsia" w:hAnsi="宋体"/>
                <w:color w:val="auto"/>
                <w:sz w:val="21"/>
                <w:szCs w:val="21"/>
              </w:rPr>
              <w:t>个，具体项目以合同约定或任务书为准）。</w:t>
            </w:r>
          </w:p>
        </w:tc>
        <w:tc>
          <w:tcPr>
            <w:tcW w:w="1287" w:type="dxa"/>
            <w:tcBorders>
              <w:top w:val="single" w:color="auto" w:sz="4" w:space="0"/>
              <w:left w:val="nil"/>
              <w:bottom w:val="single" w:color="auto" w:sz="4" w:space="0"/>
              <w:right w:val="single" w:color="auto" w:sz="4" w:space="0"/>
            </w:tcBorders>
            <w:vAlign w:val="center"/>
          </w:tcPr>
          <w:p w14:paraId="682CC1E3">
            <w:pPr>
              <w:spacing w:line="360" w:lineRule="auto"/>
              <w:ind w:right="21" w:rightChars="10"/>
              <w:jc w:val="center"/>
              <w:rPr>
                <w:rFonts w:ascii="宋体" w:hAnsi="宋体"/>
                <w:szCs w:val="21"/>
              </w:rPr>
            </w:pPr>
          </w:p>
        </w:tc>
      </w:tr>
      <w:tr w14:paraId="1A3B55C4">
        <w:tblPrEx>
          <w:tblCellMar>
            <w:top w:w="0" w:type="dxa"/>
            <w:left w:w="108" w:type="dxa"/>
            <w:bottom w:w="0" w:type="dxa"/>
            <w:right w:w="108" w:type="dxa"/>
          </w:tblCellMar>
        </w:tblPrEx>
        <w:trPr>
          <w:jc w:val="center"/>
        </w:trPr>
        <w:tc>
          <w:tcPr>
            <w:tcW w:w="1858" w:type="dxa"/>
            <w:vMerge w:val="continue"/>
            <w:tcBorders>
              <w:left w:val="single" w:color="auto" w:sz="4" w:space="0"/>
              <w:right w:val="single" w:color="auto" w:sz="4" w:space="0"/>
            </w:tcBorders>
            <w:vAlign w:val="center"/>
          </w:tcPr>
          <w:p w14:paraId="4615411A">
            <w:pPr>
              <w:spacing w:line="360" w:lineRule="auto"/>
              <w:jc w:val="center"/>
              <w:rPr>
                <w:rFonts w:ascii="宋体" w:hAnsi="宋体"/>
                <w:szCs w:val="21"/>
              </w:rPr>
            </w:pPr>
          </w:p>
        </w:tc>
        <w:tc>
          <w:tcPr>
            <w:tcW w:w="5812" w:type="dxa"/>
            <w:tcBorders>
              <w:top w:val="single" w:color="auto" w:sz="4" w:space="0"/>
              <w:left w:val="nil"/>
              <w:bottom w:val="single" w:color="auto" w:sz="4" w:space="0"/>
              <w:right w:val="single" w:color="auto" w:sz="4" w:space="0"/>
            </w:tcBorders>
            <w:vAlign w:val="center"/>
          </w:tcPr>
          <w:p w14:paraId="386F53AB">
            <w:pPr>
              <w:pStyle w:val="14"/>
              <w:spacing w:line="360" w:lineRule="auto"/>
              <w:rPr>
                <w:rFonts w:hAnsi="宋体"/>
                <w:color w:val="auto"/>
                <w:sz w:val="21"/>
                <w:szCs w:val="21"/>
              </w:rPr>
            </w:pPr>
            <w:r>
              <w:rPr>
                <w:rFonts w:hint="eastAsia" w:hAnsi="宋体"/>
                <w:color w:val="auto"/>
                <w:sz w:val="21"/>
                <w:szCs w:val="21"/>
              </w:rPr>
              <w:t>（二）项目投资收益情况财务咨询：就公司主营业务范围内指定项目的投资收益情况，提供财务测算与分析咨询服务，协助判断指定项目投资收益水平（本年度数量为</w:t>
            </w:r>
            <w:r>
              <w:rPr>
                <w:rFonts w:hint="eastAsia" w:hAnsi="宋体"/>
                <w:color w:val="auto"/>
                <w:sz w:val="21"/>
                <w:szCs w:val="21"/>
                <w:lang w:val="en-US" w:eastAsia="zh-CN"/>
              </w:rPr>
              <w:t>7</w:t>
            </w:r>
            <w:r>
              <w:rPr>
                <w:rFonts w:hint="eastAsia" w:hAnsi="宋体"/>
                <w:color w:val="auto"/>
                <w:sz w:val="21"/>
                <w:szCs w:val="21"/>
              </w:rPr>
              <w:t>个，具体项目以合同约定或任务书为准）。</w:t>
            </w:r>
          </w:p>
        </w:tc>
        <w:tc>
          <w:tcPr>
            <w:tcW w:w="1287" w:type="dxa"/>
            <w:tcBorders>
              <w:top w:val="single" w:color="auto" w:sz="4" w:space="0"/>
              <w:left w:val="nil"/>
              <w:bottom w:val="single" w:color="auto" w:sz="4" w:space="0"/>
              <w:right w:val="single" w:color="auto" w:sz="4" w:space="0"/>
            </w:tcBorders>
            <w:vAlign w:val="center"/>
          </w:tcPr>
          <w:p w14:paraId="21E99D11">
            <w:pPr>
              <w:spacing w:line="360" w:lineRule="auto"/>
              <w:ind w:right="21" w:rightChars="10"/>
              <w:jc w:val="center"/>
              <w:rPr>
                <w:rFonts w:ascii="宋体" w:hAnsi="宋体"/>
                <w:szCs w:val="21"/>
              </w:rPr>
            </w:pPr>
          </w:p>
        </w:tc>
      </w:tr>
      <w:tr w14:paraId="7D49099C">
        <w:tblPrEx>
          <w:tblCellMar>
            <w:top w:w="0" w:type="dxa"/>
            <w:left w:w="108" w:type="dxa"/>
            <w:bottom w:w="0" w:type="dxa"/>
            <w:right w:w="108" w:type="dxa"/>
          </w:tblCellMar>
        </w:tblPrEx>
        <w:trPr>
          <w:jc w:val="center"/>
        </w:trPr>
        <w:tc>
          <w:tcPr>
            <w:tcW w:w="1858" w:type="dxa"/>
            <w:vMerge w:val="continue"/>
            <w:tcBorders>
              <w:left w:val="single" w:color="auto" w:sz="4" w:space="0"/>
              <w:bottom w:val="single" w:color="auto" w:sz="4" w:space="0"/>
              <w:right w:val="single" w:color="auto" w:sz="4" w:space="0"/>
            </w:tcBorders>
            <w:vAlign w:val="center"/>
          </w:tcPr>
          <w:p w14:paraId="715609B5">
            <w:pPr>
              <w:spacing w:line="360" w:lineRule="auto"/>
              <w:jc w:val="center"/>
              <w:rPr>
                <w:rFonts w:ascii="宋体" w:hAnsi="宋体"/>
                <w:szCs w:val="21"/>
              </w:rPr>
            </w:pPr>
          </w:p>
        </w:tc>
        <w:tc>
          <w:tcPr>
            <w:tcW w:w="5812" w:type="dxa"/>
            <w:tcBorders>
              <w:top w:val="single" w:color="auto" w:sz="4" w:space="0"/>
              <w:left w:val="nil"/>
              <w:bottom w:val="single" w:color="auto" w:sz="4" w:space="0"/>
              <w:right w:val="single" w:color="auto" w:sz="4" w:space="0"/>
            </w:tcBorders>
            <w:vAlign w:val="center"/>
          </w:tcPr>
          <w:p w14:paraId="0CBF45DD">
            <w:pPr>
              <w:pStyle w:val="14"/>
              <w:spacing w:line="360" w:lineRule="auto"/>
              <w:rPr>
                <w:rFonts w:hAnsi="宋体"/>
                <w:color w:val="auto"/>
                <w:sz w:val="21"/>
                <w:szCs w:val="21"/>
              </w:rPr>
            </w:pPr>
            <w:r>
              <w:rPr>
                <w:rFonts w:hint="eastAsia" w:hAnsi="宋体"/>
                <w:color w:val="auto"/>
                <w:sz w:val="21"/>
                <w:szCs w:val="21"/>
              </w:rPr>
              <w:t>（三）日常投融资事务咨询、支持：按公司要求就项目投融资模式、政策解读、市场行情有关的财务、法务与商务问题探讨交流，提供参考建议。</w:t>
            </w:r>
          </w:p>
        </w:tc>
        <w:tc>
          <w:tcPr>
            <w:tcW w:w="1287" w:type="dxa"/>
            <w:tcBorders>
              <w:top w:val="single" w:color="auto" w:sz="4" w:space="0"/>
              <w:left w:val="nil"/>
              <w:bottom w:val="single" w:color="auto" w:sz="4" w:space="0"/>
              <w:right w:val="single" w:color="auto" w:sz="4" w:space="0"/>
            </w:tcBorders>
            <w:vAlign w:val="center"/>
          </w:tcPr>
          <w:p w14:paraId="20E7F259">
            <w:pPr>
              <w:spacing w:line="360" w:lineRule="auto"/>
              <w:ind w:right="21" w:rightChars="10"/>
              <w:jc w:val="center"/>
              <w:rPr>
                <w:rFonts w:ascii="宋体" w:hAnsi="宋体"/>
                <w:szCs w:val="21"/>
              </w:rPr>
            </w:pPr>
          </w:p>
        </w:tc>
      </w:tr>
      <w:tr w14:paraId="0379BDD6">
        <w:tblPrEx>
          <w:tblCellMar>
            <w:top w:w="0" w:type="dxa"/>
            <w:left w:w="108" w:type="dxa"/>
            <w:bottom w:w="0" w:type="dxa"/>
            <w:right w:w="108" w:type="dxa"/>
          </w:tblCellMar>
        </w:tblPrEx>
        <w:trPr>
          <w:jc w:val="center"/>
        </w:trPr>
        <w:tc>
          <w:tcPr>
            <w:tcW w:w="1858" w:type="dxa"/>
            <w:vMerge w:val="restart"/>
            <w:tcBorders>
              <w:top w:val="single" w:color="auto" w:sz="4" w:space="0"/>
              <w:left w:val="single" w:color="auto" w:sz="4" w:space="0"/>
              <w:right w:val="single" w:color="auto" w:sz="4" w:space="0"/>
            </w:tcBorders>
            <w:vAlign w:val="center"/>
          </w:tcPr>
          <w:p w14:paraId="7602983C">
            <w:pPr>
              <w:spacing w:line="360" w:lineRule="auto"/>
              <w:jc w:val="center"/>
              <w:rPr>
                <w:rFonts w:ascii="宋体" w:hAnsi="宋体"/>
                <w:szCs w:val="21"/>
              </w:rPr>
            </w:pPr>
            <w:r>
              <w:rPr>
                <w:rFonts w:hint="eastAsia" w:ascii="宋体" w:hAnsi="宋体"/>
                <w:szCs w:val="21"/>
              </w:rPr>
              <w:t>二、服务要求</w:t>
            </w:r>
          </w:p>
        </w:tc>
        <w:tc>
          <w:tcPr>
            <w:tcW w:w="5812" w:type="dxa"/>
            <w:tcBorders>
              <w:top w:val="single" w:color="auto" w:sz="4" w:space="0"/>
              <w:left w:val="nil"/>
              <w:bottom w:val="single" w:color="auto" w:sz="4" w:space="0"/>
              <w:right w:val="single" w:color="auto" w:sz="4" w:space="0"/>
            </w:tcBorders>
            <w:vAlign w:val="center"/>
          </w:tcPr>
          <w:p w14:paraId="5C972BA8">
            <w:pPr>
              <w:pStyle w:val="14"/>
              <w:spacing w:line="360" w:lineRule="auto"/>
              <w:rPr>
                <w:rFonts w:hAnsi="宋体"/>
                <w:color w:val="auto"/>
                <w:sz w:val="21"/>
                <w:szCs w:val="21"/>
              </w:rPr>
            </w:pPr>
            <w:r>
              <w:rPr>
                <w:rFonts w:hint="eastAsia" w:hAnsi="宋体"/>
                <w:color w:val="auto"/>
                <w:sz w:val="21"/>
                <w:szCs w:val="21"/>
              </w:rPr>
              <w:t>（一）中选</w:t>
            </w:r>
            <w:r>
              <w:rPr>
                <w:rFonts w:hint="eastAsia" w:hAnsi="宋体"/>
                <w:color w:val="auto"/>
                <w:sz w:val="21"/>
                <w:szCs w:val="21"/>
                <w:lang w:eastAsia="zh-CN"/>
              </w:rPr>
              <w:t>单位</w:t>
            </w:r>
            <w:r>
              <w:rPr>
                <w:rFonts w:hint="eastAsia" w:hAnsi="宋体"/>
                <w:color w:val="auto"/>
                <w:sz w:val="21"/>
                <w:szCs w:val="21"/>
              </w:rPr>
              <w:t>必须组织固定的投资服务团队提供投资咨询服务。</w:t>
            </w:r>
          </w:p>
        </w:tc>
        <w:tc>
          <w:tcPr>
            <w:tcW w:w="1287" w:type="dxa"/>
            <w:tcBorders>
              <w:top w:val="single" w:color="auto" w:sz="4" w:space="0"/>
              <w:left w:val="nil"/>
              <w:bottom w:val="single" w:color="auto" w:sz="4" w:space="0"/>
              <w:right w:val="single" w:color="auto" w:sz="4" w:space="0"/>
            </w:tcBorders>
            <w:vAlign w:val="center"/>
          </w:tcPr>
          <w:p w14:paraId="2E72C198">
            <w:pPr>
              <w:spacing w:line="360" w:lineRule="auto"/>
              <w:ind w:right="21" w:rightChars="10"/>
              <w:jc w:val="center"/>
              <w:rPr>
                <w:rFonts w:ascii="宋体" w:hAnsi="宋体"/>
                <w:szCs w:val="21"/>
              </w:rPr>
            </w:pPr>
          </w:p>
        </w:tc>
      </w:tr>
      <w:tr w14:paraId="0FB3BB95">
        <w:tblPrEx>
          <w:tblCellMar>
            <w:top w:w="0" w:type="dxa"/>
            <w:left w:w="108" w:type="dxa"/>
            <w:bottom w:w="0" w:type="dxa"/>
            <w:right w:w="108" w:type="dxa"/>
          </w:tblCellMar>
        </w:tblPrEx>
        <w:trPr>
          <w:jc w:val="center"/>
        </w:trPr>
        <w:tc>
          <w:tcPr>
            <w:tcW w:w="1858" w:type="dxa"/>
            <w:vMerge w:val="continue"/>
            <w:tcBorders>
              <w:left w:val="single" w:color="auto" w:sz="4" w:space="0"/>
              <w:right w:val="single" w:color="auto" w:sz="4" w:space="0"/>
            </w:tcBorders>
            <w:vAlign w:val="center"/>
          </w:tcPr>
          <w:p w14:paraId="70747782">
            <w:pPr>
              <w:spacing w:line="360" w:lineRule="auto"/>
              <w:jc w:val="center"/>
              <w:rPr>
                <w:rFonts w:ascii="宋体" w:hAnsi="宋体"/>
                <w:szCs w:val="21"/>
              </w:rPr>
            </w:pPr>
          </w:p>
        </w:tc>
        <w:tc>
          <w:tcPr>
            <w:tcW w:w="5812" w:type="dxa"/>
            <w:tcBorders>
              <w:top w:val="single" w:color="auto" w:sz="4" w:space="0"/>
              <w:left w:val="nil"/>
              <w:bottom w:val="single" w:color="auto" w:sz="4" w:space="0"/>
              <w:right w:val="single" w:color="auto" w:sz="4" w:space="0"/>
            </w:tcBorders>
            <w:vAlign w:val="center"/>
          </w:tcPr>
          <w:p w14:paraId="3F199BFB">
            <w:pPr>
              <w:pStyle w:val="14"/>
              <w:spacing w:line="360" w:lineRule="auto"/>
              <w:rPr>
                <w:rFonts w:hAnsi="宋体"/>
                <w:color w:val="auto"/>
                <w:sz w:val="21"/>
                <w:szCs w:val="21"/>
              </w:rPr>
            </w:pPr>
            <w:r>
              <w:rPr>
                <w:rFonts w:hint="eastAsia" w:hAnsi="宋体"/>
                <w:color w:val="auto"/>
                <w:sz w:val="21"/>
                <w:szCs w:val="21"/>
              </w:rPr>
              <w:t>（二）团队负责人应从业经验丰富，具备一定的</w:t>
            </w:r>
            <w:bookmarkStart w:id="11" w:name="_GoBack"/>
            <w:bookmarkEnd w:id="11"/>
            <w:r>
              <w:rPr>
                <w:rFonts w:hint="eastAsia" w:hAnsi="宋体"/>
                <w:color w:val="auto"/>
                <w:sz w:val="21"/>
                <w:szCs w:val="21"/>
              </w:rPr>
              <w:t>从业年限。</w:t>
            </w:r>
          </w:p>
        </w:tc>
        <w:tc>
          <w:tcPr>
            <w:tcW w:w="1287" w:type="dxa"/>
            <w:tcBorders>
              <w:top w:val="single" w:color="auto" w:sz="4" w:space="0"/>
              <w:left w:val="nil"/>
              <w:bottom w:val="single" w:color="auto" w:sz="4" w:space="0"/>
              <w:right w:val="single" w:color="auto" w:sz="4" w:space="0"/>
            </w:tcBorders>
            <w:vAlign w:val="center"/>
          </w:tcPr>
          <w:p w14:paraId="5481B96F">
            <w:pPr>
              <w:spacing w:line="360" w:lineRule="auto"/>
              <w:ind w:right="21" w:rightChars="10"/>
              <w:jc w:val="center"/>
              <w:rPr>
                <w:rFonts w:ascii="宋体" w:hAnsi="宋体"/>
                <w:szCs w:val="21"/>
              </w:rPr>
            </w:pPr>
          </w:p>
        </w:tc>
      </w:tr>
      <w:tr w14:paraId="01E4C848">
        <w:tblPrEx>
          <w:tblCellMar>
            <w:top w:w="0" w:type="dxa"/>
            <w:left w:w="108" w:type="dxa"/>
            <w:bottom w:w="0" w:type="dxa"/>
            <w:right w:w="108" w:type="dxa"/>
          </w:tblCellMar>
        </w:tblPrEx>
        <w:trPr>
          <w:jc w:val="center"/>
        </w:trPr>
        <w:tc>
          <w:tcPr>
            <w:tcW w:w="1858" w:type="dxa"/>
            <w:vMerge w:val="continue"/>
            <w:tcBorders>
              <w:left w:val="single" w:color="auto" w:sz="4" w:space="0"/>
              <w:bottom w:val="single" w:color="auto" w:sz="4" w:space="0"/>
              <w:right w:val="single" w:color="auto" w:sz="4" w:space="0"/>
            </w:tcBorders>
            <w:vAlign w:val="center"/>
          </w:tcPr>
          <w:p w14:paraId="7D2FF7F3">
            <w:pPr>
              <w:spacing w:line="360" w:lineRule="auto"/>
              <w:jc w:val="center"/>
              <w:rPr>
                <w:rFonts w:ascii="宋体" w:hAnsi="宋体"/>
                <w:szCs w:val="21"/>
              </w:rPr>
            </w:pPr>
          </w:p>
        </w:tc>
        <w:tc>
          <w:tcPr>
            <w:tcW w:w="5812" w:type="dxa"/>
            <w:tcBorders>
              <w:top w:val="single" w:color="auto" w:sz="4" w:space="0"/>
              <w:left w:val="nil"/>
              <w:bottom w:val="single" w:color="auto" w:sz="4" w:space="0"/>
              <w:right w:val="single" w:color="auto" w:sz="4" w:space="0"/>
            </w:tcBorders>
            <w:vAlign w:val="center"/>
          </w:tcPr>
          <w:p w14:paraId="344827A7">
            <w:pPr>
              <w:pStyle w:val="14"/>
              <w:spacing w:line="360" w:lineRule="auto"/>
              <w:rPr>
                <w:rFonts w:hAnsi="宋体"/>
                <w:color w:val="auto"/>
                <w:sz w:val="21"/>
                <w:szCs w:val="21"/>
              </w:rPr>
            </w:pPr>
            <w:r>
              <w:rPr>
                <w:rFonts w:hint="eastAsia" w:hAnsi="宋体"/>
                <w:color w:val="auto"/>
                <w:sz w:val="21"/>
                <w:szCs w:val="21"/>
              </w:rPr>
              <w:t>（三）团队负责人和主要团队其他成员需要更换时，</w:t>
            </w:r>
            <w:r>
              <w:rPr>
                <w:rFonts w:hint="eastAsia" w:hAnsi="宋体"/>
                <w:color w:val="auto"/>
                <w:sz w:val="21"/>
                <w:szCs w:val="21"/>
                <w:lang w:eastAsia="zh-CN"/>
              </w:rPr>
              <w:t>中选单位</w:t>
            </w:r>
            <w:r>
              <w:rPr>
                <w:rFonts w:hint="eastAsia" w:hAnsi="宋体"/>
                <w:color w:val="auto"/>
                <w:sz w:val="21"/>
                <w:szCs w:val="21"/>
              </w:rPr>
              <w:t>需指派有相同资质和经验的咨询顾问，并获得公司书面同意。公司认为所指派咨询顾问不能胜任工作要求的，有权要求</w:t>
            </w:r>
            <w:r>
              <w:rPr>
                <w:rFonts w:hint="eastAsia" w:hAnsi="宋体"/>
                <w:color w:val="auto"/>
                <w:sz w:val="21"/>
                <w:szCs w:val="21"/>
                <w:lang w:eastAsia="zh-CN"/>
              </w:rPr>
              <w:t>中选单位</w:t>
            </w:r>
            <w:r>
              <w:rPr>
                <w:rFonts w:hint="eastAsia" w:hAnsi="宋体"/>
                <w:color w:val="auto"/>
                <w:sz w:val="21"/>
                <w:szCs w:val="21"/>
              </w:rPr>
              <w:t>限期更换。</w:t>
            </w:r>
          </w:p>
        </w:tc>
        <w:tc>
          <w:tcPr>
            <w:tcW w:w="1287" w:type="dxa"/>
            <w:tcBorders>
              <w:top w:val="single" w:color="auto" w:sz="4" w:space="0"/>
              <w:left w:val="nil"/>
              <w:bottom w:val="single" w:color="auto" w:sz="4" w:space="0"/>
              <w:right w:val="single" w:color="auto" w:sz="4" w:space="0"/>
            </w:tcBorders>
            <w:vAlign w:val="center"/>
          </w:tcPr>
          <w:p w14:paraId="4F260D9B">
            <w:pPr>
              <w:spacing w:line="360" w:lineRule="auto"/>
              <w:ind w:right="21" w:rightChars="10"/>
              <w:jc w:val="center"/>
              <w:rPr>
                <w:rFonts w:ascii="宋体" w:hAnsi="宋体"/>
                <w:szCs w:val="21"/>
              </w:rPr>
            </w:pPr>
          </w:p>
        </w:tc>
      </w:tr>
    </w:tbl>
    <w:p w14:paraId="11D2B032">
      <w:pPr>
        <w:ind w:left="4410" w:right="1075" w:rightChars="512" w:firstLine="420"/>
      </w:pPr>
    </w:p>
    <w:p w14:paraId="27DCA72B">
      <w:pPr>
        <w:ind w:left="4410" w:right="1075" w:rightChars="512" w:firstLine="420"/>
      </w:pPr>
      <w:r>
        <w:rPr>
          <w:rFonts w:hint="eastAsia"/>
        </w:rPr>
        <w:t>参选单位（盖章）：</w:t>
      </w:r>
    </w:p>
    <w:p w14:paraId="1723C8B4">
      <w:pPr>
        <w:ind w:left="4410" w:right="1075" w:rightChars="512" w:firstLine="420"/>
      </w:pPr>
    </w:p>
    <w:p w14:paraId="52D7552A">
      <w:pPr>
        <w:ind w:right="19" w:firstLine="4830" w:firstLineChars="230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14:paraId="29EB19CE"/>
    <w:p w14:paraId="3B49BCBE">
      <w:pPr>
        <w:widowControl/>
        <w:jc w:val="left"/>
      </w:pPr>
      <w:r>
        <w:br w:type="page"/>
      </w:r>
    </w:p>
    <w:p w14:paraId="16DA94C0">
      <w:pPr>
        <w:pStyle w:val="2"/>
        <w:spacing w:before="0" w:after="0" w:line="240" w:lineRule="auto"/>
        <w:rPr>
          <w:rFonts w:ascii="黑体" w:hAnsi="黑体" w:eastAsia="黑体" w:cs="黑体"/>
          <w:b w:val="0"/>
          <w:bCs w:val="0"/>
          <w:sz w:val="28"/>
          <w:szCs w:val="28"/>
        </w:rPr>
      </w:pPr>
      <w:r>
        <w:rPr>
          <w:rFonts w:hint="eastAsia" w:ascii="黑体" w:hAnsi="黑体" w:eastAsia="黑体" w:cs="黑体"/>
          <w:b w:val="0"/>
          <w:bCs w:val="0"/>
          <w:sz w:val="28"/>
          <w:szCs w:val="28"/>
        </w:rPr>
        <w:t>附件5 成员表</w:t>
      </w:r>
    </w:p>
    <w:p w14:paraId="5A89476A">
      <w:pPr>
        <w:jc w:val="center"/>
        <w:rPr>
          <w:rFonts w:ascii="方正小标宋简体" w:hAnsi="方正小标宋简体" w:eastAsia="方正小标宋简体" w:cs="方正小标宋简体"/>
          <w:sz w:val="36"/>
          <w:szCs w:val="36"/>
        </w:rPr>
      </w:pPr>
      <w:bookmarkStart w:id="1" w:name="_Toc150940581"/>
      <w:r>
        <w:rPr>
          <w:rFonts w:hint="eastAsia" w:ascii="方正小标宋简体" w:hAnsi="方正小标宋简体" w:eastAsia="方正小标宋简体" w:cs="方正小标宋简体"/>
          <w:sz w:val="36"/>
          <w:szCs w:val="36"/>
        </w:rPr>
        <w:t>团队成员信息一览表</w:t>
      </w:r>
      <w:bookmarkEnd w:id="1"/>
    </w:p>
    <w:tbl>
      <w:tblPr>
        <w:tblStyle w:val="8"/>
        <w:tblW w:w="84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742"/>
        <w:gridCol w:w="1985"/>
        <w:gridCol w:w="1932"/>
        <w:gridCol w:w="1853"/>
      </w:tblGrid>
      <w:tr w14:paraId="6F213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0" w:type="dxa"/>
            <w:tcBorders>
              <w:top w:val="single" w:color="auto" w:sz="4" w:space="0"/>
              <w:left w:val="single" w:color="auto" w:sz="4" w:space="0"/>
              <w:bottom w:val="single" w:color="auto" w:sz="4" w:space="0"/>
              <w:right w:val="single" w:color="auto" w:sz="4" w:space="0"/>
            </w:tcBorders>
            <w:vAlign w:val="center"/>
          </w:tcPr>
          <w:p w14:paraId="5F859A27">
            <w:pPr>
              <w:spacing w:line="360" w:lineRule="auto"/>
              <w:ind w:left="-69" w:leftChars="-33" w:right="-94" w:rightChars="-45"/>
              <w:jc w:val="center"/>
              <w:rPr>
                <w:rFonts w:ascii="宋体" w:hAnsi="宋体" w:cs="仿宋"/>
                <w:szCs w:val="21"/>
              </w:rPr>
            </w:pPr>
            <w:bookmarkStart w:id="2" w:name="OLE_LINK27"/>
            <w:r>
              <w:rPr>
                <w:rFonts w:hint="eastAsia" w:ascii="宋体" w:hAnsi="宋体" w:cs="仿宋"/>
                <w:szCs w:val="21"/>
              </w:rPr>
              <w:t>序号</w:t>
            </w:r>
          </w:p>
        </w:tc>
        <w:tc>
          <w:tcPr>
            <w:tcW w:w="1742" w:type="dxa"/>
            <w:tcBorders>
              <w:top w:val="single" w:color="auto" w:sz="4" w:space="0"/>
              <w:left w:val="single" w:color="auto" w:sz="4" w:space="0"/>
              <w:bottom w:val="single" w:color="auto" w:sz="4" w:space="0"/>
              <w:right w:val="single" w:color="auto" w:sz="4" w:space="0"/>
            </w:tcBorders>
            <w:vAlign w:val="center"/>
          </w:tcPr>
          <w:p w14:paraId="2377B28C">
            <w:pPr>
              <w:spacing w:line="360" w:lineRule="auto"/>
              <w:ind w:left="-69" w:leftChars="-33" w:right="-94" w:rightChars="-45"/>
              <w:jc w:val="center"/>
              <w:rPr>
                <w:rFonts w:ascii="宋体" w:hAnsi="宋体" w:cs="仿宋"/>
                <w:szCs w:val="21"/>
              </w:rPr>
            </w:pPr>
            <w:r>
              <w:rPr>
                <w:rFonts w:hint="eastAsia" w:ascii="宋体" w:hAnsi="宋体" w:cs="仿宋"/>
                <w:szCs w:val="21"/>
              </w:rPr>
              <w:t>姓名</w:t>
            </w:r>
          </w:p>
        </w:tc>
        <w:tc>
          <w:tcPr>
            <w:tcW w:w="1985" w:type="dxa"/>
            <w:tcBorders>
              <w:top w:val="single" w:color="auto" w:sz="4" w:space="0"/>
              <w:left w:val="single" w:color="auto" w:sz="4" w:space="0"/>
              <w:bottom w:val="single" w:color="auto" w:sz="4" w:space="0"/>
              <w:right w:val="single" w:color="auto" w:sz="4" w:space="0"/>
            </w:tcBorders>
            <w:vAlign w:val="center"/>
          </w:tcPr>
          <w:p w14:paraId="4209594F">
            <w:pPr>
              <w:spacing w:line="360" w:lineRule="auto"/>
              <w:ind w:left="-69" w:leftChars="-33" w:right="-94" w:rightChars="-45"/>
              <w:jc w:val="center"/>
              <w:rPr>
                <w:rFonts w:ascii="宋体" w:hAnsi="宋体" w:cs="仿宋"/>
                <w:szCs w:val="21"/>
              </w:rPr>
            </w:pPr>
            <w:r>
              <w:rPr>
                <w:rFonts w:hint="eastAsia" w:ascii="宋体" w:hAnsi="宋体" w:cs="仿宋"/>
                <w:szCs w:val="21"/>
              </w:rPr>
              <w:t>职称</w:t>
            </w:r>
          </w:p>
        </w:tc>
        <w:tc>
          <w:tcPr>
            <w:tcW w:w="1932" w:type="dxa"/>
            <w:tcBorders>
              <w:top w:val="single" w:color="auto" w:sz="4" w:space="0"/>
              <w:left w:val="single" w:color="auto" w:sz="4" w:space="0"/>
              <w:bottom w:val="single" w:color="auto" w:sz="4" w:space="0"/>
              <w:right w:val="single" w:color="auto" w:sz="4" w:space="0"/>
            </w:tcBorders>
            <w:vAlign w:val="center"/>
          </w:tcPr>
          <w:p w14:paraId="7BB40B3B">
            <w:pPr>
              <w:spacing w:line="360" w:lineRule="auto"/>
              <w:ind w:left="-69" w:leftChars="-33" w:right="-94" w:rightChars="-45"/>
              <w:jc w:val="center"/>
              <w:rPr>
                <w:rFonts w:ascii="宋体" w:hAnsi="宋体" w:cs="仿宋"/>
                <w:szCs w:val="21"/>
              </w:rPr>
            </w:pPr>
            <w:r>
              <w:rPr>
                <w:rFonts w:hint="eastAsia" w:ascii="宋体" w:hAnsi="宋体" w:cs="仿宋"/>
                <w:szCs w:val="21"/>
              </w:rPr>
              <w:t>拟担任职务</w:t>
            </w:r>
          </w:p>
        </w:tc>
        <w:tc>
          <w:tcPr>
            <w:tcW w:w="1853" w:type="dxa"/>
            <w:tcBorders>
              <w:top w:val="single" w:color="auto" w:sz="4" w:space="0"/>
              <w:left w:val="single" w:color="auto" w:sz="4" w:space="0"/>
              <w:bottom w:val="single" w:color="auto" w:sz="4" w:space="0"/>
              <w:right w:val="single" w:color="auto" w:sz="4" w:space="0"/>
            </w:tcBorders>
            <w:vAlign w:val="center"/>
          </w:tcPr>
          <w:p w14:paraId="451FC6FA">
            <w:pPr>
              <w:spacing w:line="360" w:lineRule="auto"/>
              <w:ind w:left="-69" w:leftChars="-33" w:right="-94" w:rightChars="-45"/>
              <w:jc w:val="center"/>
              <w:rPr>
                <w:rFonts w:ascii="宋体" w:hAnsi="宋体" w:cs="仿宋"/>
                <w:szCs w:val="21"/>
              </w:rPr>
            </w:pPr>
            <w:r>
              <w:rPr>
                <w:rFonts w:hint="eastAsia" w:ascii="宋体" w:hAnsi="宋体" w:cs="仿宋"/>
                <w:szCs w:val="21"/>
              </w:rPr>
              <w:t>工作年限</w:t>
            </w:r>
          </w:p>
        </w:tc>
      </w:tr>
      <w:bookmarkEnd w:id="2"/>
      <w:tr w14:paraId="00E81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0" w:type="dxa"/>
            <w:tcBorders>
              <w:top w:val="single" w:color="auto" w:sz="4" w:space="0"/>
              <w:left w:val="single" w:color="auto" w:sz="4" w:space="0"/>
              <w:bottom w:val="single" w:color="auto" w:sz="4" w:space="0"/>
              <w:right w:val="single" w:color="auto" w:sz="4" w:space="0"/>
            </w:tcBorders>
            <w:vAlign w:val="center"/>
          </w:tcPr>
          <w:p w14:paraId="6870B672">
            <w:pPr>
              <w:spacing w:line="360" w:lineRule="auto"/>
              <w:ind w:left="-69" w:leftChars="-33" w:right="-94" w:rightChars="-45"/>
              <w:jc w:val="center"/>
              <w:rPr>
                <w:rFonts w:ascii="宋体" w:hAnsi="宋体" w:cs="仿宋"/>
                <w:szCs w:val="21"/>
              </w:rPr>
            </w:pPr>
            <w:r>
              <w:rPr>
                <w:rFonts w:hint="eastAsia" w:ascii="宋体" w:hAnsi="宋体" w:cs="仿宋"/>
                <w:szCs w:val="21"/>
              </w:rPr>
              <w:t>1</w:t>
            </w:r>
          </w:p>
        </w:tc>
        <w:tc>
          <w:tcPr>
            <w:tcW w:w="1742" w:type="dxa"/>
            <w:tcBorders>
              <w:top w:val="single" w:color="auto" w:sz="4" w:space="0"/>
              <w:left w:val="single" w:color="auto" w:sz="4" w:space="0"/>
              <w:bottom w:val="single" w:color="auto" w:sz="4" w:space="0"/>
              <w:right w:val="single" w:color="auto" w:sz="4" w:space="0"/>
            </w:tcBorders>
            <w:vAlign w:val="center"/>
          </w:tcPr>
          <w:p w14:paraId="47141E56">
            <w:pPr>
              <w:snapToGrid w:val="0"/>
              <w:spacing w:before="156" w:beforeLines="50" w:after="50" w:line="360" w:lineRule="auto"/>
              <w:jc w:val="center"/>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vAlign w:val="center"/>
          </w:tcPr>
          <w:p w14:paraId="69DCAACC">
            <w:pPr>
              <w:snapToGrid w:val="0"/>
              <w:spacing w:before="156" w:beforeLines="50" w:after="50" w:line="360" w:lineRule="auto"/>
              <w:jc w:val="center"/>
              <w:rPr>
                <w:rFonts w:ascii="宋体" w:hAnsi="宋体"/>
                <w:szCs w:val="21"/>
              </w:rPr>
            </w:pPr>
          </w:p>
        </w:tc>
        <w:tc>
          <w:tcPr>
            <w:tcW w:w="1932" w:type="dxa"/>
            <w:tcBorders>
              <w:top w:val="single" w:color="auto" w:sz="4" w:space="0"/>
              <w:left w:val="single" w:color="auto" w:sz="4" w:space="0"/>
              <w:bottom w:val="single" w:color="auto" w:sz="4" w:space="0"/>
              <w:right w:val="single" w:color="auto" w:sz="4" w:space="0"/>
            </w:tcBorders>
            <w:vAlign w:val="center"/>
          </w:tcPr>
          <w:p w14:paraId="519140FB">
            <w:pPr>
              <w:pStyle w:val="5"/>
              <w:spacing w:line="360" w:lineRule="auto"/>
              <w:jc w:val="center"/>
              <w:rPr>
                <w:rFonts w:hAnsi="宋体"/>
                <w:color w:val="000000"/>
              </w:rPr>
            </w:pPr>
          </w:p>
        </w:tc>
        <w:tc>
          <w:tcPr>
            <w:tcW w:w="1853" w:type="dxa"/>
            <w:tcBorders>
              <w:top w:val="single" w:color="auto" w:sz="4" w:space="0"/>
              <w:left w:val="single" w:color="auto" w:sz="4" w:space="0"/>
              <w:bottom w:val="single" w:color="auto" w:sz="4" w:space="0"/>
              <w:right w:val="single" w:color="auto" w:sz="4" w:space="0"/>
            </w:tcBorders>
            <w:vAlign w:val="center"/>
          </w:tcPr>
          <w:p w14:paraId="4C76B41A">
            <w:pPr>
              <w:snapToGrid w:val="0"/>
              <w:spacing w:before="156" w:beforeLines="50" w:after="50" w:line="360" w:lineRule="auto"/>
              <w:jc w:val="center"/>
              <w:rPr>
                <w:rFonts w:ascii="宋体" w:hAnsi="宋体"/>
                <w:szCs w:val="21"/>
              </w:rPr>
            </w:pPr>
          </w:p>
        </w:tc>
      </w:tr>
      <w:tr w14:paraId="4460A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0" w:type="dxa"/>
            <w:tcBorders>
              <w:top w:val="single" w:color="auto" w:sz="4" w:space="0"/>
              <w:left w:val="single" w:color="auto" w:sz="4" w:space="0"/>
              <w:bottom w:val="single" w:color="auto" w:sz="4" w:space="0"/>
              <w:right w:val="single" w:color="auto" w:sz="4" w:space="0"/>
            </w:tcBorders>
            <w:vAlign w:val="center"/>
          </w:tcPr>
          <w:p w14:paraId="62E98CD9">
            <w:pPr>
              <w:spacing w:line="360" w:lineRule="auto"/>
              <w:ind w:left="-69" w:leftChars="-33" w:right="-94" w:rightChars="-45"/>
              <w:jc w:val="center"/>
              <w:rPr>
                <w:rFonts w:ascii="宋体" w:hAnsi="宋体" w:cs="仿宋"/>
                <w:szCs w:val="21"/>
              </w:rPr>
            </w:pPr>
            <w:r>
              <w:rPr>
                <w:rFonts w:hint="eastAsia" w:ascii="宋体" w:hAnsi="宋体" w:cs="仿宋"/>
                <w:szCs w:val="21"/>
              </w:rPr>
              <w:t>2</w:t>
            </w:r>
          </w:p>
        </w:tc>
        <w:tc>
          <w:tcPr>
            <w:tcW w:w="1742" w:type="dxa"/>
            <w:tcBorders>
              <w:top w:val="single" w:color="auto" w:sz="4" w:space="0"/>
              <w:left w:val="single" w:color="auto" w:sz="4" w:space="0"/>
              <w:bottom w:val="single" w:color="auto" w:sz="4" w:space="0"/>
              <w:right w:val="single" w:color="auto" w:sz="4" w:space="0"/>
            </w:tcBorders>
            <w:vAlign w:val="center"/>
          </w:tcPr>
          <w:p w14:paraId="34CD46D0">
            <w:pPr>
              <w:snapToGrid w:val="0"/>
              <w:spacing w:before="156" w:beforeLines="50" w:after="50" w:line="360" w:lineRule="auto"/>
              <w:jc w:val="center"/>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vAlign w:val="center"/>
          </w:tcPr>
          <w:p w14:paraId="422260AB">
            <w:pPr>
              <w:snapToGrid w:val="0"/>
              <w:spacing w:before="156" w:beforeLines="50" w:after="50" w:line="360" w:lineRule="auto"/>
              <w:jc w:val="center"/>
              <w:rPr>
                <w:rFonts w:ascii="宋体" w:hAnsi="宋体"/>
                <w:szCs w:val="21"/>
              </w:rPr>
            </w:pPr>
          </w:p>
        </w:tc>
        <w:tc>
          <w:tcPr>
            <w:tcW w:w="1932" w:type="dxa"/>
            <w:tcBorders>
              <w:top w:val="single" w:color="auto" w:sz="4" w:space="0"/>
              <w:left w:val="single" w:color="auto" w:sz="4" w:space="0"/>
              <w:bottom w:val="single" w:color="auto" w:sz="4" w:space="0"/>
              <w:right w:val="single" w:color="auto" w:sz="4" w:space="0"/>
            </w:tcBorders>
            <w:vAlign w:val="center"/>
          </w:tcPr>
          <w:p w14:paraId="3BE3686C">
            <w:pPr>
              <w:spacing w:line="360" w:lineRule="auto"/>
              <w:jc w:val="center"/>
              <w:rPr>
                <w:rFonts w:ascii="宋体" w:hAnsi="宋体"/>
                <w:color w:val="000000"/>
                <w:szCs w:val="21"/>
              </w:rPr>
            </w:pPr>
          </w:p>
        </w:tc>
        <w:tc>
          <w:tcPr>
            <w:tcW w:w="1853" w:type="dxa"/>
            <w:tcBorders>
              <w:top w:val="single" w:color="auto" w:sz="4" w:space="0"/>
              <w:left w:val="single" w:color="auto" w:sz="4" w:space="0"/>
              <w:bottom w:val="single" w:color="auto" w:sz="4" w:space="0"/>
              <w:right w:val="single" w:color="auto" w:sz="4" w:space="0"/>
            </w:tcBorders>
            <w:vAlign w:val="center"/>
          </w:tcPr>
          <w:p w14:paraId="1E29CB15">
            <w:pPr>
              <w:snapToGrid w:val="0"/>
              <w:spacing w:before="156" w:beforeLines="50" w:after="50" w:line="360" w:lineRule="auto"/>
              <w:jc w:val="center"/>
              <w:rPr>
                <w:rFonts w:ascii="宋体" w:hAnsi="宋体"/>
                <w:szCs w:val="21"/>
              </w:rPr>
            </w:pPr>
          </w:p>
        </w:tc>
      </w:tr>
      <w:tr w14:paraId="5A82E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0" w:type="dxa"/>
            <w:tcBorders>
              <w:top w:val="single" w:color="auto" w:sz="4" w:space="0"/>
              <w:left w:val="single" w:color="auto" w:sz="4" w:space="0"/>
              <w:bottom w:val="single" w:color="auto" w:sz="4" w:space="0"/>
              <w:right w:val="single" w:color="auto" w:sz="4" w:space="0"/>
            </w:tcBorders>
            <w:vAlign w:val="center"/>
          </w:tcPr>
          <w:p w14:paraId="4A30A48A">
            <w:pPr>
              <w:spacing w:line="360" w:lineRule="auto"/>
              <w:ind w:left="-69" w:leftChars="-33" w:right="-94" w:rightChars="-45"/>
              <w:jc w:val="center"/>
              <w:rPr>
                <w:rFonts w:ascii="宋体" w:hAnsi="宋体" w:cs="仿宋"/>
                <w:szCs w:val="21"/>
              </w:rPr>
            </w:pPr>
            <w:r>
              <w:rPr>
                <w:rFonts w:ascii="宋体" w:hAnsi="宋体" w:cs="仿宋"/>
                <w:szCs w:val="21"/>
              </w:rPr>
              <w:t>3</w:t>
            </w:r>
          </w:p>
        </w:tc>
        <w:tc>
          <w:tcPr>
            <w:tcW w:w="1742" w:type="dxa"/>
            <w:tcBorders>
              <w:top w:val="single" w:color="auto" w:sz="4" w:space="0"/>
              <w:left w:val="single" w:color="auto" w:sz="4" w:space="0"/>
              <w:bottom w:val="single" w:color="auto" w:sz="4" w:space="0"/>
              <w:right w:val="single" w:color="auto" w:sz="4" w:space="0"/>
            </w:tcBorders>
            <w:vAlign w:val="center"/>
          </w:tcPr>
          <w:p w14:paraId="472518C0">
            <w:pPr>
              <w:snapToGrid w:val="0"/>
              <w:spacing w:before="156" w:beforeLines="50" w:after="50" w:line="360" w:lineRule="auto"/>
              <w:jc w:val="center"/>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vAlign w:val="center"/>
          </w:tcPr>
          <w:p w14:paraId="753356B0">
            <w:pPr>
              <w:snapToGrid w:val="0"/>
              <w:spacing w:before="156" w:beforeLines="50" w:after="50" w:line="360" w:lineRule="auto"/>
              <w:jc w:val="center"/>
              <w:rPr>
                <w:rFonts w:ascii="宋体" w:hAnsi="宋体"/>
                <w:szCs w:val="21"/>
              </w:rPr>
            </w:pPr>
          </w:p>
        </w:tc>
        <w:tc>
          <w:tcPr>
            <w:tcW w:w="1932" w:type="dxa"/>
            <w:tcBorders>
              <w:top w:val="single" w:color="auto" w:sz="4" w:space="0"/>
              <w:left w:val="single" w:color="auto" w:sz="4" w:space="0"/>
              <w:bottom w:val="single" w:color="auto" w:sz="4" w:space="0"/>
              <w:right w:val="single" w:color="auto" w:sz="4" w:space="0"/>
            </w:tcBorders>
            <w:vAlign w:val="center"/>
          </w:tcPr>
          <w:p w14:paraId="4D918F14">
            <w:pPr>
              <w:snapToGrid w:val="0"/>
              <w:spacing w:before="156" w:beforeLines="50" w:after="50" w:line="360" w:lineRule="auto"/>
              <w:jc w:val="center"/>
              <w:rPr>
                <w:rFonts w:ascii="宋体" w:hAnsi="宋体"/>
                <w:szCs w:val="21"/>
              </w:rPr>
            </w:pPr>
          </w:p>
        </w:tc>
        <w:tc>
          <w:tcPr>
            <w:tcW w:w="1853" w:type="dxa"/>
            <w:tcBorders>
              <w:top w:val="single" w:color="auto" w:sz="4" w:space="0"/>
              <w:left w:val="single" w:color="auto" w:sz="4" w:space="0"/>
              <w:bottom w:val="single" w:color="auto" w:sz="4" w:space="0"/>
              <w:right w:val="single" w:color="auto" w:sz="4" w:space="0"/>
            </w:tcBorders>
            <w:vAlign w:val="center"/>
          </w:tcPr>
          <w:p w14:paraId="642AD6E4">
            <w:pPr>
              <w:snapToGrid w:val="0"/>
              <w:spacing w:before="156" w:beforeLines="50" w:after="50" w:line="360" w:lineRule="auto"/>
              <w:jc w:val="center"/>
              <w:rPr>
                <w:rFonts w:ascii="宋体" w:hAnsi="宋体"/>
                <w:szCs w:val="21"/>
              </w:rPr>
            </w:pPr>
          </w:p>
        </w:tc>
      </w:tr>
      <w:tr w14:paraId="5FC64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0" w:type="dxa"/>
            <w:tcBorders>
              <w:top w:val="single" w:color="auto" w:sz="4" w:space="0"/>
              <w:left w:val="single" w:color="auto" w:sz="4" w:space="0"/>
              <w:bottom w:val="single" w:color="auto" w:sz="4" w:space="0"/>
              <w:right w:val="single" w:color="auto" w:sz="4" w:space="0"/>
            </w:tcBorders>
            <w:vAlign w:val="center"/>
          </w:tcPr>
          <w:p w14:paraId="6ADF4D54">
            <w:pPr>
              <w:spacing w:line="360" w:lineRule="auto"/>
              <w:ind w:left="-69" w:leftChars="-33" w:right="-94" w:rightChars="-45"/>
              <w:jc w:val="center"/>
              <w:rPr>
                <w:rFonts w:ascii="宋体" w:hAnsi="宋体" w:cs="仿宋"/>
                <w:szCs w:val="21"/>
              </w:rPr>
            </w:pPr>
            <w:r>
              <w:rPr>
                <w:rFonts w:hint="eastAsia" w:ascii="宋体" w:hAnsi="宋体" w:cs="仿宋"/>
                <w:szCs w:val="21"/>
              </w:rPr>
              <w:t>……</w:t>
            </w:r>
          </w:p>
        </w:tc>
        <w:tc>
          <w:tcPr>
            <w:tcW w:w="1742" w:type="dxa"/>
            <w:tcBorders>
              <w:top w:val="single" w:color="auto" w:sz="4" w:space="0"/>
              <w:left w:val="single" w:color="auto" w:sz="4" w:space="0"/>
              <w:bottom w:val="single" w:color="auto" w:sz="4" w:space="0"/>
              <w:right w:val="single" w:color="auto" w:sz="4" w:space="0"/>
            </w:tcBorders>
            <w:vAlign w:val="center"/>
          </w:tcPr>
          <w:p w14:paraId="13A66D54">
            <w:pPr>
              <w:snapToGrid w:val="0"/>
              <w:spacing w:before="156" w:beforeLines="50" w:after="50" w:line="360" w:lineRule="auto"/>
              <w:jc w:val="center"/>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vAlign w:val="center"/>
          </w:tcPr>
          <w:p w14:paraId="72BCF2E0">
            <w:pPr>
              <w:snapToGrid w:val="0"/>
              <w:spacing w:before="156" w:beforeLines="50" w:after="50" w:line="360" w:lineRule="auto"/>
              <w:jc w:val="center"/>
              <w:rPr>
                <w:rFonts w:ascii="宋体" w:hAnsi="宋体"/>
                <w:szCs w:val="21"/>
              </w:rPr>
            </w:pPr>
          </w:p>
        </w:tc>
        <w:tc>
          <w:tcPr>
            <w:tcW w:w="1932" w:type="dxa"/>
            <w:tcBorders>
              <w:top w:val="single" w:color="auto" w:sz="4" w:space="0"/>
              <w:left w:val="single" w:color="auto" w:sz="4" w:space="0"/>
              <w:bottom w:val="single" w:color="auto" w:sz="4" w:space="0"/>
              <w:right w:val="single" w:color="auto" w:sz="4" w:space="0"/>
            </w:tcBorders>
            <w:vAlign w:val="center"/>
          </w:tcPr>
          <w:p w14:paraId="55BE6087">
            <w:pPr>
              <w:snapToGrid w:val="0"/>
              <w:spacing w:before="156" w:beforeLines="50" w:after="50" w:line="360" w:lineRule="auto"/>
              <w:jc w:val="center"/>
              <w:rPr>
                <w:rFonts w:ascii="宋体" w:hAnsi="宋体"/>
                <w:szCs w:val="21"/>
              </w:rPr>
            </w:pPr>
          </w:p>
        </w:tc>
        <w:tc>
          <w:tcPr>
            <w:tcW w:w="1853" w:type="dxa"/>
            <w:tcBorders>
              <w:top w:val="single" w:color="auto" w:sz="4" w:space="0"/>
              <w:left w:val="single" w:color="auto" w:sz="4" w:space="0"/>
              <w:bottom w:val="single" w:color="auto" w:sz="4" w:space="0"/>
              <w:right w:val="single" w:color="auto" w:sz="4" w:space="0"/>
            </w:tcBorders>
            <w:vAlign w:val="center"/>
          </w:tcPr>
          <w:p w14:paraId="0389FD47">
            <w:pPr>
              <w:snapToGrid w:val="0"/>
              <w:spacing w:before="156" w:beforeLines="50" w:after="50" w:line="360" w:lineRule="auto"/>
              <w:jc w:val="center"/>
              <w:rPr>
                <w:rFonts w:ascii="宋体" w:hAnsi="宋体"/>
                <w:szCs w:val="21"/>
              </w:rPr>
            </w:pPr>
          </w:p>
        </w:tc>
      </w:tr>
    </w:tbl>
    <w:p w14:paraId="545D0013">
      <w:pPr>
        <w:pStyle w:val="5"/>
        <w:spacing w:line="360" w:lineRule="auto"/>
        <w:rPr>
          <w:rFonts w:hAnsi="宋体"/>
          <w:sz w:val="24"/>
          <w:szCs w:val="24"/>
        </w:rPr>
      </w:pPr>
    </w:p>
    <w:p w14:paraId="0ED8AABA">
      <w:pPr>
        <w:ind w:left="4410" w:right="1075" w:rightChars="512" w:firstLine="420"/>
      </w:pPr>
      <w:r>
        <w:rPr>
          <w:rFonts w:hint="eastAsia"/>
        </w:rPr>
        <w:t>参选单位（盖章）：</w:t>
      </w:r>
    </w:p>
    <w:p w14:paraId="291A6289">
      <w:pPr>
        <w:ind w:left="4410" w:right="1075" w:rightChars="512" w:firstLine="420"/>
      </w:pPr>
    </w:p>
    <w:p w14:paraId="7442E7C0">
      <w:pPr>
        <w:ind w:left="4410" w:right="1075" w:rightChars="512" w:firstLine="420"/>
      </w:pPr>
    </w:p>
    <w:p w14:paraId="45C1A39D">
      <w:pPr>
        <w:ind w:right="19" w:firstLine="4830" w:firstLineChars="230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14:paraId="30AEA969">
      <w:pPr>
        <w:pStyle w:val="5"/>
        <w:spacing w:line="360" w:lineRule="auto"/>
        <w:rPr>
          <w:rFonts w:hAnsi="宋体"/>
          <w:sz w:val="24"/>
          <w:szCs w:val="24"/>
        </w:rPr>
      </w:pPr>
    </w:p>
    <w:p w14:paraId="37A5DFC9">
      <w:pPr>
        <w:pStyle w:val="5"/>
        <w:spacing w:line="360" w:lineRule="auto"/>
        <w:rPr>
          <w:rFonts w:hAnsi="宋体"/>
        </w:rPr>
      </w:pPr>
      <w:r>
        <w:rPr>
          <w:rFonts w:hint="eastAsia" w:hAnsi="宋体"/>
        </w:rPr>
        <w:t>注：附人员相关资格证件（如有）</w:t>
      </w:r>
    </w:p>
    <w:p w14:paraId="7186F629"/>
    <w:p w14:paraId="619E826C"/>
    <w:p w14:paraId="18FE4912"/>
    <w:p w14:paraId="6E45F73A">
      <w:pPr>
        <w:widowControl/>
        <w:jc w:val="left"/>
      </w:pPr>
      <w:r>
        <w:br w:type="page"/>
      </w:r>
    </w:p>
    <w:p w14:paraId="0D2A550C">
      <w:pPr>
        <w:pStyle w:val="2"/>
        <w:spacing w:before="0" w:after="0" w:line="240" w:lineRule="auto"/>
        <w:rPr>
          <w:rFonts w:ascii="黑体" w:hAnsi="黑体" w:eastAsia="黑体" w:cs="黑体"/>
          <w:b w:val="0"/>
          <w:bCs w:val="0"/>
          <w:sz w:val="28"/>
          <w:szCs w:val="28"/>
        </w:rPr>
      </w:pPr>
      <w:r>
        <w:rPr>
          <w:rFonts w:hint="eastAsia" w:ascii="黑体" w:hAnsi="黑体" w:eastAsia="黑体" w:cs="黑体"/>
          <w:b w:val="0"/>
          <w:bCs w:val="0"/>
          <w:sz w:val="28"/>
          <w:szCs w:val="28"/>
        </w:rPr>
        <w:t>附件6 报价表</w:t>
      </w:r>
    </w:p>
    <w:p w14:paraId="2C0D7345">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报价一览表</w:t>
      </w:r>
    </w:p>
    <w:p w14:paraId="1B0BE39A">
      <w:pPr>
        <w:jc w:val="right"/>
        <w:rPr>
          <w:rFonts w:cs="方正小标宋简体" w:asciiTheme="minorEastAsia" w:hAnsiTheme="minorEastAsia"/>
          <w:szCs w:val="21"/>
        </w:rPr>
      </w:pPr>
      <w:r>
        <w:rPr>
          <w:rFonts w:hint="eastAsia" w:cs="方正小标宋简体" w:asciiTheme="minorEastAsia" w:hAnsiTheme="minorEastAsia"/>
          <w:szCs w:val="21"/>
        </w:rPr>
        <w:t>（单位：元）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215"/>
        <w:gridCol w:w="2861"/>
        <w:gridCol w:w="1701"/>
        <w:gridCol w:w="1780"/>
      </w:tblGrid>
      <w:tr w14:paraId="29CE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96" w:type="dxa"/>
            <w:gridSpan w:val="5"/>
            <w:vAlign w:val="center"/>
          </w:tcPr>
          <w:p w14:paraId="32275400">
            <w:pPr>
              <w:pStyle w:val="4"/>
              <w:spacing w:line="360" w:lineRule="exact"/>
              <w:ind w:firstLine="0"/>
              <w:jc w:val="left"/>
              <w:rPr>
                <w:rFonts w:ascii="宋体" w:hAnsi="宋体" w:cs="Arial"/>
                <w:b/>
                <w:bCs/>
                <w:szCs w:val="21"/>
              </w:rPr>
            </w:pPr>
            <w:r>
              <w:rPr>
                <w:rFonts w:hint="eastAsia" w:ascii="宋体" w:hAnsi="宋体" w:cs="Arial"/>
                <w:b/>
                <w:bCs/>
                <w:szCs w:val="21"/>
              </w:rPr>
              <w:t>参选单位名称：</w:t>
            </w:r>
          </w:p>
        </w:tc>
      </w:tr>
      <w:tr w14:paraId="0713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39" w:type="dxa"/>
            <w:vAlign w:val="center"/>
          </w:tcPr>
          <w:p w14:paraId="6D856C2E">
            <w:pPr>
              <w:pStyle w:val="4"/>
              <w:spacing w:line="360" w:lineRule="exact"/>
              <w:ind w:firstLine="0"/>
              <w:jc w:val="center"/>
              <w:rPr>
                <w:rFonts w:ascii="宋体" w:hAnsi="宋体" w:cs="Arial"/>
                <w:szCs w:val="21"/>
              </w:rPr>
            </w:pPr>
            <w:r>
              <w:rPr>
                <w:rFonts w:hint="eastAsia" w:ascii="宋体" w:hAnsi="宋体" w:cs="Arial"/>
                <w:szCs w:val="21"/>
              </w:rPr>
              <w:t>序号</w:t>
            </w:r>
          </w:p>
        </w:tc>
        <w:tc>
          <w:tcPr>
            <w:tcW w:w="1215" w:type="dxa"/>
            <w:vAlign w:val="center"/>
          </w:tcPr>
          <w:p w14:paraId="32940E1B">
            <w:pPr>
              <w:pStyle w:val="4"/>
              <w:spacing w:line="360" w:lineRule="exact"/>
              <w:ind w:firstLine="0"/>
              <w:jc w:val="center"/>
              <w:rPr>
                <w:rFonts w:ascii="宋体" w:hAnsi="宋体" w:cs="Arial"/>
                <w:szCs w:val="21"/>
              </w:rPr>
            </w:pPr>
            <w:r>
              <w:rPr>
                <w:rFonts w:hint="eastAsia" w:ascii="宋体" w:hAnsi="宋体" w:cs="Arial"/>
                <w:szCs w:val="21"/>
              </w:rPr>
              <w:t>服务类型</w:t>
            </w:r>
          </w:p>
        </w:tc>
        <w:tc>
          <w:tcPr>
            <w:tcW w:w="2861" w:type="dxa"/>
            <w:vAlign w:val="center"/>
          </w:tcPr>
          <w:p w14:paraId="74EE0323">
            <w:pPr>
              <w:pStyle w:val="4"/>
              <w:spacing w:line="360" w:lineRule="exact"/>
              <w:ind w:firstLine="0"/>
              <w:jc w:val="center"/>
              <w:rPr>
                <w:rFonts w:ascii="宋体" w:hAnsi="宋体" w:cs="Arial"/>
                <w:szCs w:val="21"/>
              </w:rPr>
            </w:pPr>
            <w:r>
              <w:rPr>
                <w:rFonts w:hint="eastAsia" w:ascii="宋体" w:hAnsi="宋体" w:cs="Arial"/>
                <w:szCs w:val="21"/>
              </w:rPr>
              <w:t>服务内容</w:t>
            </w:r>
          </w:p>
        </w:tc>
        <w:tc>
          <w:tcPr>
            <w:tcW w:w="1701" w:type="dxa"/>
            <w:vAlign w:val="center"/>
          </w:tcPr>
          <w:p w14:paraId="69FB540B">
            <w:pPr>
              <w:pStyle w:val="4"/>
              <w:spacing w:line="360" w:lineRule="exact"/>
              <w:ind w:firstLine="0"/>
              <w:jc w:val="center"/>
              <w:rPr>
                <w:rFonts w:ascii="宋体" w:hAnsi="宋体" w:cs="Arial"/>
                <w:szCs w:val="21"/>
              </w:rPr>
            </w:pPr>
            <w:r>
              <w:rPr>
                <w:rFonts w:hint="eastAsia" w:ascii="宋体" w:hAnsi="宋体" w:cs="Arial"/>
                <w:szCs w:val="21"/>
              </w:rPr>
              <w:t>报价（单价）</w:t>
            </w:r>
          </w:p>
        </w:tc>
        <w:tc>
          <w:tcPr>
            <w:tcW w:w="1780" w:type="dxa"/>
            <w:vAlign w:val="center"/>
          </w:tcPr>
          <w:p w14:paraId="69D40D6C">
            <w:pPr>
              <w:pStyle w:val="4"/>
              <w:spacing w:line="360" w:lineRule="exact"/>
              <w:ind w:firstLine="0"/>
              <w:jc w:val="center"/>
              <w:rPr>
                <w:rFonts w:ascii="宋体" w:hAnsi="宋体" w:cs="Arial"/>
                <w:szCs w:val="21"/>
              </w:rPr>
            </w:pPr>
            <w:r>
              <w:rPr>
                <w:rFonts w:hint="eastAsia" w:ascii="宋体" w:hAnsi="宋体" w:cs="Arial"/>
                <w:szCs w:val="21"/>
              </w:rPr>
              <w:t>报价（总价）</w:t>
            </w:r>
          </w:p>
        </w:tc>
      </w:tr>
      <w:tr w14:paraId="2E59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739" w:type="dxa"/>
            <w:vAlign w:val="center"/>
          </w:tcPr>
          <w:p w14:paraId="21FF7FE8">
            <w:pPr>
              <w:pStyle w:val="4"/>
              <w:spacing w:line="360" w:lineRule="auto"/>
              <w:ind w:firstLine="0"/>
              <w:jc w:val="center"/>
              <w:rPr>
                <w:rFonts w:ascii="宋体" w:hAnsi="宋体" w:cs="Arial"/>
                <w:sz w:val="24"/>
              </w:rPr>
            </w:pPr>
            <w:r>
              <w:rPr>
                <w:rFonts w:hint="eastAsia" w:ascii="宋体" w:hAnsi="宋体" w:cs="Arial"/>
                <w:sz w:val="24"/>
              </w:rPr>
              <w:t>1</w:t>
            </w:r>
          </w:p>
        </w:tc>
        <w:tc>
          <w:tcPr>
            <w:tcW w:w="1215" w:type="dxa"/>
            <w:vAlign w:val="center"/>
          </w:tcPr>
          <w:p w14:paraId="61DA98BB">
            <w:pPr>
              <w:snapToGrid w:val="0"/>
              <w:rPr>
                <w:rFonts w:ascii="宋体" w:hAnsi="宋体" w:eastAsia="宋体" w:cs="Arial"/>
                <w:szCs w:val="21"/>
              </w:rPr>
            </w:pPr>
            <w:r>
              <w:rPr>
                <w:rFonts w:hint="eastAsia" w:ascii="宋体" w:hAnsi="宋体" w:eastAsia="宋体" w:cs="Arial"/>
                <w:szCs w:val="21"/>
              </w:rPr>
              <w:t>拟投资项目可行性研究及前期工作支持</w:t>
            </w:r>
          </w:p>
        </w:tc>
        <w:tc>
          <w:tcPr>
            <w:tcW w:w="2861" w:type="dxa"/>
            <w:vAlign w:val="center"/>
          </w:tcPr>
          <w:p w14:paraId="1A2239A5">
            <w:pPr>
              <w:snapToGrid w:val="0"/>
              <w:rPr>
                <w:rFonts w:ascii="宋体" w:hAnsi="宋体" w:cs="Arial"/>
                <w:sz w:val="24"/>
              </w:rPr>
            </w:pPr>
            <w:bookmarkStart w:id="3" w:name="_Hlk171912222"/>
            <w:r>
              <w:rPr>
                <w:rFonts w:hint="eastAsia" w:hAnsi="宋体"/>
                <w:szCs w:val="21"/>
              </w:rPr>
              <w:t>针对公司本年度常年投资顾问服务范围内拟投资项目完成尽职调查；可行性评估、风险评估；编制可行性研究报告、风险评估报告（如需）；提供磋商谈判支持；以及就项目咨询服务过程中有关的财务、法务与商务问题提供咨询意见等（本年度数量为</w:t>
            </w:r>
            <w:r>
              <w:rPr>
                <w:rFonts w:hint="eastAsia" w:hAnsi="宋体"/>
                <w:szCs w:val="21"/>
                <w:lang w:val="en-US" w:eastAsia="zh-CN"/>
              </w:rPr>
              <w:t>2</w:t>
            </w:r>
            <w:r>
              <w:rPr>
                <w:rFonts w:hint="eastAsia" w:hAnsi="宋体"/>
                <w:szCs w:val="21"/>
              </w:rPr>
              <w:t>个，具体项目以合同约定或任务书为准）</w:t>
            </w:r>
            <w:bookmarkEnd w:id="3"/>
            <w:r>
              <w:rPr>
                <w:rFonts w:hint="eastAsia" w:hAnsi="宋体"/>
                <w:szCs w:val="21"/>
              </w:rPr>
              <w:t>。</w:t>
            </w:r>
          </w:p>
        </w:tc>
        <w:tc>
          <w:tcPr>
            <w:tcW w:w="1701" w:type="dxa"/>
            <w:vAlign w:val="center"/>
          </w:tcPr>
          <w:p w14:paraId="2E0A1E26">
            <w:pPr>
              <w:pStyle w:val="4"/>
              <w:spacing w:line="360" w:lineRule="auto"/>
              <w:ind w:firstLine="0"/>
              <w:jc w:val="center"/>
              <w:rPr>
                <w:rFonts w:ascii="宋体" w:hAnsi="宋体" w:cs="Arial"/>
                <w:szCs w:val="21"/>
              </w:rPr>
            </w:pPr>
          </w:p>
        </w:tc>
        <w:tc>
          <w:tcPr>
            <w:tcW w:w="1780" w:type="dxa"/>
            <w:vAlign w:val="center"/>
          </w:tcPr>
          <w:p w14:paraId="55335BEA">
            <w:pPr>
              <w:pStyle w:val="4"/>
              <w:spacing w:line="360" w:lineRule="auto"/>
              <w:ind w:firstLine="0"/>
              <w:jc w:val="center"/>
              <w:rPr>
                <w:rFonts w:ascii="宋体" w:hAnsi="宋体" w:cs="Arial"/>
                <w:szCs w:val="21"/>
              </w:rPr>
            </w:pPr>
          </w:p>
        </w:tc>
      </w:tr>
      <w:tr w14:paraId="6EF8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39" w:type="dxa"/>
            <w:vAlign w:val="center"/>
          </w:tcPr>
          <w:p w14:paraId="4D76A422">
            <w:pPr>
              <w:pStyle w:val="4"/>
              <w:spacing w:line="360" w:lineRule="auto"/>
              <w:ind w:firstLine="0"/>
              <w:jc w:val="center"/>
              <w:rPr>
                <w:rFonts w:ascii="宋体" w:hAnsi="宋体" w:cs="Arial"/>
                <w:sz w:val="24"/>
              </w:rPr>
            </w:pPr>
            <w:r>
              <w:rPr>
                <w:rFonts w:hint="eastAsia" w:ascii="宋体" w:hAnsi="宋体" w:cs="Arial"/>
                <w:sz w:val="24"/>
              </w:rPr>
              <w:t>2</w:t>
            </w:r>
          </w:p>
        </w:tc>
        <w:tc>
          <w:tcPr>
            <w:tcW w:w="1215" w:type="dxa"/>
            <w:vAlign w:val="center"/>
          </w:tcPr>
          <w:p w14:paraId="5B838105">
            <w:pPr>
              <w:snapToGrid w:val="0"/>
              <w:rPr>
                <w:rFonts w:ascii="宋体" w:hAnsi="宋体" w:eastAsia="宋体" w:cs="Arial"/>
                <w:szCs w:val="21"/>
              </w:rPr>
            </w:pPr>
            <w:r>
              <w:rPr>
                <w:rFonts w:hint="eastAsia" w:hAnsi="宋体"/>
                <w:szCs w:val="21"/>
              </w:rPr>
              <w:t>项目投资收益情况财务咨询</w:t>
            </w:r>
          </w:p>
        </w:tc>
        <w:tc>
          <w:tcPr>
            <w:tcW w:w="2861" w:type="dxa"/>
            <w:vAlign w:val="center"/>
          </w:tcPr>
          <w:p w14:paraId="5EF98065">
            <w:pPr>
              <w:snapToGrid w:val="0"/>
              <w:rPr>
                <w:rFonts w:ascii="宋体" w:hAnsi="宋体" w:cs="Arial"/>
                <w:szCs w:val="21"/>
              </w:rPr>
            </w:pPr>
            <w:r>
              <w:rPr>
                <w:rFonts w:hint="eastAsia" w:hAnsi="宋体"/>
                <w:szCs w:val="21"/>
              </w:rPr>
              <w:t>主营业务范围内指定项目的投资收益情况，提供财务测算与分析咨询服务，协助判断指定项目投资收益水平（本年度数量为</w:t>
            </w:r>
            <w:r>
              <w:rPr>
                <w:rFonts w:hint="eastAsia" w:hAnsi="宋体"/>
                <w:szCs w:val="21"/>
                <w:lang w:val="en-US" w:eastAsia="zh-CN"/>
              </w:rPr>
              <w:t>7</w:t>
            </w:r>
            <w:r>
              <w:rPr>
                <w:rFonts w:hint="eastAsia" w:hAnsi="宋体"/>
                <w:szCs w:val="21"/>
              </w:rPr>
              <w:t>个，具体项目以合同约定或任务书为准）</w:t>
            </w:r>
            <w:r>
              <w:rPr>
                <w:rFonts w:hint="eastAsia" w:ascii="宋体" w:hAnsi="宋体" w:eastAsia="宋体" w:cs="Arial"/>
                <w:szCs w:val="21"/>
              </w:rPr>
              <w:t>。</w:t>
            </w:r>
          </w:p>
        </w:tc>
        <w:tc>
          <w:tcPr>
            <w:tcW w:w="1701" w:type="dxa"/>
            <w:vAlign w:val="center"/>
          </w:tcPr>
          <w:p w14:paraId="24BF8BE5">
            <w:pPr>
              <w:pStyle w:val="4"/>
              <w:spacing w:line="360" w:lineRule="auto"/>
              <w:ind w:firstLine="0"/>
              <w:jc w:val="center"/>
              <w:rPr>
                <w:rFonts w:ascii="宋体" w:hAnsi="宋体" w:cs="Arial"/>
                <w:szCs w:val="21"/>
              </w:rPr>
            </w:pPr>
          </w:p>
        </w:tc>
        <w:tc>
          <w:tcPr>
            <w:tcW w:w="1780" w:type="dxa"/>
            <w:vAlign w:val="center"/>
          </w:tcPr>
          <w:p w14:paraId="63668490">
            <w:pPr>
              <w:pStyle w:val="4"/>
              <w:spacing w:line="360" w:lineRule="auto"/>
              <w:ind w:firstLine="0"/>
              <w:jc w:val="center"/>
              <w:rPr>
                <w:rFonts w:ascii="宋体" w:hAnsi="宋体" w:cs="Arial"/>
                <w:szCs w:val="21"/>
              </w:rPr>
            </w:pPr>
          </w:p>
        </w:tc>
      </w:tr>
      <w:tr w14:paraId="67D7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39" w:type="dxa"/>
            <w:vAlign w:val="center"/>
          </w:tcPr>
          <w:p w14:paraId="4F6923D3">
            <w:pPr>
              <w:pStyle w:val="4"/>
              <w:spacing w:line="360" w:lineRule="auto"/>
              <w:ind w:firstLine="0"/>
              <w:jc w:val="center"/>
              <w:rPr>
                <w:rFonts w:ascii="宋体" w:hAnsi="宋体" w:cs="Arial"/>
                <w:sz w:val="24"/>
              </w:rPr>
            </w:pPr>
            <w:r>
              <w:rPr>
                <w:rFonts w:hint="eastAsia" w:ascii="宋体" w:hAnsi="宋体" w:cs="Arial"/>
                <w:sz w:val="24"/>
              </w:rPr>
              <w:t>3</w:t>
            </w:r>
          </w:p>
        </w:tc>
        <w:tc>
          <w:tcPr>
            <w:tcW w:w="1215" w:type="dxa"/>
            <w:vAlign w:val="center"/>
          </w:tcPr>
          <w:p w14:paraId="0F902874">
            <w:pPr>
              <w:snapToGrid w:val="0"/>
              <w:rPr>
                <w:rFonts w:ascii="宋体" w:hAnsi="宋体" w:eastAsia="宋体" w:cs="Arial"/>
                <w:szCs w:val="21"/>
              </w:rPr>
            </w:pPr>
            <w:bookmarkStart w:id="4" w:name="_Hlk171912422"/>
            <w:r>
              <w:rPr>
                <w:rFonts w:hint="eastAsia" w:ascii="宋体" w:hAnsi="宋体" w:eastAsia="宋体" w:cs="Arial"/>
                <w:szCs w:val="21"/>
              </w:rPr>
              <w:t>日常投融资相关咨询、支持</w:t>
            </w:r>
            <w:bookmarkEnd w:id="4"/>
          </w:p>
        </w:tc>
        <w:tc>
          <w:tcPr>
            <w:tcW w:w="2861" w:type="dxa"/>
            <w:vAlign w:val="center"/>
          </w:tcPr>
          <w:p w14:paraId="286C929B">
            <w:pPr>
              <w:snapToGrid w:val="0"/>
              <w:rPr>
                <w:rFonts w:ascii="宋体" w:hAnsi="宋体" w:eastAsia="宋体" w:cs="Arial"/>
                <w:szCs w:val="21"/>
              </w:rPr>
            </w:pPr>
            <w:bookmarkStart w:id="5" w:name="_Hlk171912463"/>
            <w:r>
              <w:rPr>
                <w:rFonts w:hint="eastAsia" w:ascii="宋体" w:hAnsi="宋体" w:eastAsia="宋体" w:cs="Arial"/>
                <w:szCs w:val="21"/>
              </w:rPr>
              <w:t>按公司要求，就项目投融资模式、政策解读、市场行情有关的财务、法务与商务问题探讨交流，提供参考建议。</w:t>
            </w:r>
            <w:bookmarkEnd w:id="5"/>
          </w:p>
        </w:tc>
        <w:tc>
          <w:tcPr>
            <w:tcW w:w="1701" w:type="dxa"/>
            <w:vAlign w:val="center"/>
          </w:tcPr>
          <w:p w14:paraId="6840FB14">
            <w:pPr>
              <w:pStyle w:val="4"/>
              <w:spacing w:line="360" w:lineRule="auto"/>
              <w:ind w:firstLine="0"/>
              <w:jc w:val="center"/>
              <w:rPr>
                <w:rFonts w:ascii="宋体" w:hAnsi="宋体" w:cs="Arial"/>
                <w:sz w:val="24"/>
              </w:rPr>
            </w:pPr>
          </w:p>
        </w:tc>
        <w:tc>
          <w:tcPr>
            <w:tcW w:w="1780" w:type="dxa"/>
            <w:vAlign w:val="center"/>
          </w:tcPr>
          <w:p w14:paraId="1FED2601">
            <w:pPr>
              <w:pStyle w:val="4"/>
              <w:spacing w:line="360" w:lineRule="auto"/>
              <w:ind w:firstLine="0"/>
              <w:jc w:val="center"/>
              <w:rPr>
                <w:rFonts w:ascii="宋体" w:hAnsi="宋体" w:cs="Arial"/>
                <w:sz w:val="24"/>
              </w:rPr>
            </w:pPr>
          </w:p>
        </w:tc>
      </w:tr>
      <w:tr w14:paraId="7CAA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516" w:type="dxa"/>
            <w:gridSpan w:val="4"/>
            <w:vAlign w:val="center"/>
          </w:tcPr>
          <w:p w14:paraId="58CFE372">
            <w:pPr>
              <w:pStyle w:val="4"/>
              <w:spacing w:line="360" w:lineRule="auto"/>
              <w:ind w:firstLine="0"/>
              <w:jc w:val="center"/>
              <w:rPr>
                <w:rFonts w:ascii="宋体" w:hAnsi="宋体" w:cs="Arial"/>
                <w:b/>
                <w:bCs/>
                <w:szCs w:val="21"/>
              </w:rPr>
            </w:pPr>
            <w:r>
              <w:rPr>
                <w:rFonts w:hint="eastAsia" w:ascii="宋体" w:hAnsi="宋体" w:cs="Arial"/>
                <w:b/>
                <w:bCs/>
                <w:szCs w:val="21"/>
              </w:rPr>
              <w:t>总计报价：</w:t>
            </w:r>
          </w:p>
        </w:tc>
        <w:tc>
          <w:tcPr>
            <w:tcW w:w="1780" w:type="dxa"/>
            <w:vAlign w:val="center"/>
          </w:tcPr>
          <w:p w14:paraId="3A557D08">
            <w:pPr>
              <w:pStyle w:val="4"/>
              <w:spacing w:line="360" w:lineRule="auto"/>
              <w:ind w:firstLine="0"/>
              <w:jc w:val="center"/>
              <w:rPr>
                <w:rFonts w:ascii="宋体" w:hAnsi="宋体" w:cs="Arial"/>
                <w:szCs w:val="21"/>
              </w:rPr>
            </w:pPr>
          </w:p>
        </w:tc>
      </w:tr>
    </w:tbl>
    <w:p w14:paraId="327C91AC">
      <w:pPr>
        <w:pStyle w:val="5"/>
        <w:snapToGrid w:val="0"/>
        <w:spacing w:line="360" w:lineRule="auto"/>
        <w:ind w:firstLine="600"/>
        <w:rPr>
          <w:rFonts w:hAnsi="宋体" w:cs="Arial"/>
        </w:rPr>
      </w:pPr>
    </w:p>
    <w:p w14:paraId="6FED4095">
      <w:pPr>
        <w:pStyle w:val="5"/>
        <w:snapToGrid w:val="0"/>
        <w:spacing w:line="360" w:lineRule="auto"/>
        <w:ind w:firstLine="600"/>
        <w:rPr>
          <w:rFonts w:hAnsi="宋体" w:cs="Arial"/>
        </w:rPr>
      </w:pPr>
      <w:r>
        <w:rPr>
          <w:rFonts w:hint="eastAsia" w:hAnsi="宋体" w:cs="Arial"/>
        </w:rPr>
        <w:t xml:space="preserve">参选单位授权代表签字：                       </w:t>
      </w:r>
    </w:p>
    <w:p w14:paraId="7BD390CE">
      <w:pPr>
        <w:pStyle w:val="5"/>
        <w:snapToGrid w:val="0"/>
        <w:spacing w:line="360" w:lineRule="auto"/>
        <w:ind w:firstLine="600"/>
        <w:rPr>
          <w:rFonts w:hAnsi="宋体" w:cs="Arial"/>
        </w:rPr>
      </w:pPr>
      <w:r>
        <w:rPr>
          <w:rFonts w:hint="eastAsia" w:hAnsi="宋体" w:cs="Arial"/>
        </w:rPr>
        <w:t xml:space="preserve">参选单位名称：                            </w:t>
      </w:r>
    </w:p>
    <w:p w14:paraId="7E6738A0">
      <w:pPr>
        <w:pStyle w:val="5"/>
        <w:snapToGrid w:val="0"/>
        <w:spacing w:line="360" w:lineRule="auto"/>
        <w:ind w:firstLine="600"/>
        <w:rPr>
          <w:rFonts w:hAnsi="宋体" w:cs="Arial"/>
        </w:rPr>
      </w:pPr>
      <w:r>
        <w:rPr>
          <w:rFonts w:hint="eastAsia" w:hAnsi="宋体" w:cs="Arial"/>
        </w:rPr>
        <w:t xml:space="preserve">公      章:                              </w:t>
      </w:r>
    </w:p>
    <w:p w14:paraId="58F453D3">
      <w:pPr>
        <w:pStyle w:val="5"/>
        <w:snapToGrid w:val="0"/>
        <w:spacing w:line="360" w:lineRule="auto"/>
        <w:ind w:firstLine="420"/>
        <w:rPr>
          <w:rFonts w:hAnsi="宋体" w:cs="Arial"/>
        </w:rPr>
      </w:pPr>
    </w:p>
    <w:p w14:paraId="3040AFAD">
      <w:pPr>
        <w:pStyle w:val="5"/>
        <w:snapToGrid w:val="0"/>
        <w:spacing w:line="360" w:lineRule="auto"/>
        <w:ind w:firstLine="420"/>
        <w:rPr>
          <w:rFonts w:hAnsi="宋体" w:cs="Arial"/>
        </w:rPr>
      </w:pPr>
      <w:r>
        <w:rPr>
          <w:rFonts w:hint="eastAsia" w:hAnsi="宋体" w:cs="Arial"/>
        </w:rPr>
        <w:t>注：1、法定代表人或其正式授权人签字并盖公章。</w:t>
      </w:r>
    </w:p>
    <w:p w14:paraId="3CA05A83">
      <w:pPr>
        <w:pStyle w:val="5"/>
        <w:snapToGrid w:val="0"/>
        <w:spacing w:line="360" w:lineRule="auto"/>
        <w:ind w:firstLine="840" w:firstLineChars="400"/>
        <w:rPr>
          <w:rFonts w:hAnsi="宋体" w:cs="Arial"/>
        </w:rPr>
      </w:pPr>
      <w:r>
        <w:rPr>
          <w:rFonts w:hint="eastAsia" w:hAnsi="宋体" w:cs="Arial"/>
        </w:rPr>
        <w:t>2、必须按上述格式内容进行报价，超过限价为无效参选。</w:t>
      </w:r>
    </w:p>
    <w:p w14:paraId="6EBD252F">
      <w:pPr>
        <w:pStyle w:val="5"/>
        <w:snapToGrid w:val="0"/>
        <w:spacing w:line="360" w:lineRule="auto"/>
        <w:ind w:firstLine="420"/>
        <w:rPr>
          <w:rFonts w:hAnsi="宋体" w:cs="Arial"/>
        </w:rPr>
      </w:pPr>
      <w:r>
        <w:rPr>
          <w:rFonts w:hint="eastAsia" w:hAnsi="宋体" w:cs="Arial"/>
        </w:rPr>
        <w:t xml:space="preserve">    3、如中选为成交人，参选单位在执行合同期间内不得提出其他额外费用。</w:t>
      </w:r>
    </w:p>
    <w:p w14:paraId="6296C582">
      <w:pPr>
        <w:pStyle w:val="5"/>
        <w:snapToGrid w:val="0"/>
        <w:spacing w:line="360" w:lineRule="auto"/>
        <w:ind w:firstLine="840" w:firstLineChars="400"/>
        <w:rPr>
          <w:rFonts w:hAnsi="宋体" w:cs="Arial"/>
        </w:rPr>
        <w:sectPr>
          <w:pgSz w:w="11906" w:h="16838"/>
          <w:pgMar w:top="1440" w:right="1800" w:bottom="1440" w:left="1800" w:header="851" w:footer="992" w:gutter="0"/>
          <w:cols w:space="425" w:num="1"/>
          <w:docGrid w:type="lines" w:linePitch="312" w:charSpace="0"/>
        </w:sectPr>
      </w:pPr>
      <w:r>
        <w:rPr>
          <w:rFonts w:hint="eastAsia" w:hAnsi="宋体" w:cs="Arial"/>
        </w:rPr>
        <w:t>4、合同周期内如遇新增拟投资项目、新增项目财务咨询的，可按不超过单价签订补充协议执行，具体以届时协商为准。</w:t>
      </w:r>
    </w:p>
    <w:p w14:paraId="1BB7EE45">
      <w:pPr>
        <w:adjustRightInd w:val="0"/>
        <w:snapToGrid w:val="0"/>
        <w:spacing w:line="360" w:lineRule="auto"/>
        <w:jc w:val="center"/>
        <w:outlineLvl w:val="0"/>
        <w:rPr>
          <w:rFonts w:ascii="黑体" w:hAnsi="黑体" w:eastAsia="黑体"/>
          <w:bCs/>
          <w:sz w:val="36"/>
          <w:szCs w:val="36"/>
          <w:highlight w:val="none"/>
        </w:rPr>
      </w:pPr>
      <w:bookmarkStart w:id="6" w:name="_Toc3910671"/>
      <w:bookmarkStart w:id="7" w:name="_Toc42508344"/>
      <w:bookmarkStart w:id="8" w:name="_Toc494447339"/>
      <w:bookmarkStart w:id="9" w:name="_Toc485366233"/>
      <w:bookmarkStart w:id="10" w:name="_Toc486320705"/>
      <w:r>
        <w:rPr>
          <w:rFonts w:hint="eastAsia" w:ascii="黑体" w:hAnsi="黑体" w:eastAsia="黑体"/>
          <w:bCs/>
          <w:sz w:val="36"/>
          <w:szCs w:val="36"/>
          <w:highlight w:val="none"/>
        </w:rPr>
        <w:t xml:space="preserve">第二章 </w:t>
      </w:r>
      <w:r>
        <w:rPr>
          <w:rFonts w:ascii="黑体" w:hAnsi="黑体" w:eastAsia="黑体"/>
          <w:bCs/>
          <w:sz w:val="36"/>
          <w:szCs w:val="36"/>
          <w:highlight w:val="none"/>
        </w:rPr>
        <w:t>评</w:t>
      </w:r>
      <w:r>
        <w:rPr>
          <w:rFonts w:hint="eastAsia" w:ascii="黑体" w:hAnsi="黑体" w:eastAsia="黑体"/>
          <w:bCs/>
          <w:sz w:val="36"/>
          <w:szCs w:val="36"/>
          <w:highlight w:val="none"/>
        </w:rPr>
        <w:t>分</w:t>
      </w:r>
      <w:r>
        <w:rPr>
          <w:rFonts w:ascii="黑体" w:hAnsi="黑体" w:eastAsia="黑体"/>
          <w:bCs/>
          <w:sz w:val="36"/>
          <w:szCs w:val="36"/>
          <w:highlight w:val="none"/>
        </w:rPr>
        <w:t>办法</w:t>
      </w:r>
      <w:bookmarkEnd w:id="6"/>
      <w:bookmarkEnd w:id="7"/>
    </w:p>
    <w:bookmarkEnd w:id="8"/>
    <w:bookmarkEnd w:id="9"/>
    <w:bookmarkEnd w:id="10"/>
    <w:p w14:paraId="7A3C9871">
      <w:pPr>
        <w:pStyle w:val="12"/>
        <w:spacing w:line="360" w:lineRule="auto"/>
        <w:ind w:firstLine="482"/>
        <w:rPr>
          <w:rFonts w:ascii="宋体" w:hAnsi="宋体"/>
          <w:b/>
          <w:sz w:val="24"/>
        </w:rPr>
      </w:pPr>
      <w:r>
        <w:rPr>
          <w:rFonts w:hint="eastAsia" w:ascii="宋体" w:hAnsi="宋体"/>
          <w:b/>
          <w:sz w:val="24"/>
        </w:rPr>
        <w:t>一、评选方法</w:t>
      </w:r>
    </w:p>
    <w:p w14:paraId="01B11CEB">
      <w:pPr>
        <w:spacing w:line="360" w:lineRule="auto"/>
        <w:ind w:firstLine="480" w:firstLineChars="200"/>
        <w:rPr>
          <w:rFonts w:ascii="宋体" w:hAnsi="宋体" w:cs="Arial"/>
          <w:sz w:val="24"/>
        </w:rPr>
      </w:pPr>
      <w:r>
        <w:rPr>
          <w:rFonts w:hint="eastAsia" w:ascii="宋体" w:hAnsi="宋体"/>
          <w:sz w:val="24"/>
        </w:rPr>
        <w:t>本次评选采用综合评分法。每一参选单位的最终得分为所有评委给其评分的算术平均值。</w:t>
      </w:r>
      <w:r>
        <w:rPr>
          <w:rFonts w:hint="eastAsia" w:ascii="宋体" w:hAnsi="宋体" w:cs="Arial"/>
          <w:sz w:val="24"/>
        </w:rPr>
        <w:t>公司将按照评标委员会推荐的中选候选人顺序确定中选人，并与其签订合同。</w:t>
      </w:r>
    </w:p>
    <w:p w14:paraId="02AF0C36">
      <w:pPr>
        <w:spacing w:line="360" w:lineRule="auto"/>
        <w:ind w:firstLine="480" w:firstLineChars="200"/>
        <w:rPr>
          <w:rFonts w:ascii="宋体" w:hAnsi="宋体"/>
          <w:sz w:val="24"/>
        </w:rPr>
      </w:pPr>
      <w:r>
        <w:rPr>
          <w:rFonts w:hint="eastAsia" w:ascii="宋体" w:hAnsi="宋体"/>
          <w:sz w:val="24"/>
        </w:rPr>
        <w:t>本项目评分标准为：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0"/>
        <w:gridCol w:w="4322"/>
      </w:tblGrid>
      <w:tr w14:paraId="5D6B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00" w:type="dxa"/>
            <w:tcBorders>
              <w:top w:val="single" w:color="auto" w:sz="4" w:space="0"/>
              <w:left w:val="single" w:color="auto" w:sz="4" w:space="0"/>
              <w:bottom w:val="single" w:color="auto" w:sz="4" w:space="0"/>
              <w:right w:val="single" w:color="auto" w:sz="4" w:space="0"/>
            </w:tcBorders>
            <w:vAlign w:val="center"/>
          </w:tcPr>
          <w:p w14:paraId="107426E0">
            <w:pPr>
              <w:spacing w:line="276" w:lineRule="auto"/>
              <w:jc w:val="center"/>
              <w:rPr>
                <w:rFonts w:ascii="宋体" w:hAnsi="宋体"/>
                <w:sz w:val="24"/>
              </w:rPr>
            </w:pPr>
            <w:r>
              <w:rPr>
                <w:rFonts w:hint="eastAsia" w:ascii="宋体" w:hAnsi="宋体"/>
                <w:sz w:val="24"/>
              </w:rPr>
              <w:t>评分因素</w:t>
            </w:r>
          </w:p>
        </w:tc>
        <w:tc>
          <w:tcPr>
            <w:tcW w:w="4322" w:type="dxa"/>
            <w:tcBorders>
              <w:top w:val="single" w:color="auto" w:sz="4" w:space="0"/>
              <w:left w:val="single" w:color="auto" w:sz="4" w:space="0"/>
              <w:bottom w:val="single" w:color="auto" w:sz="4" w:space="0"/>
              <w:right w:val="single" w:color="auto" w:sz="4" w:space="0"/>
            </w:tcBorders>
            <w:vAlign w:val="center"/>
          </w:tcPr>
          <w:p w14:paraId="53040CC7">
            <w:pPr>
              <w:spacing w:line="276" w:lineRule="auto"/>
              <w:jc w:val="center"/>
              <w:rPr>
                <w:rFonts w:ascii="宋体" w:hAnsi="宋体"/>
                <w:sz w:val="24"/>
              </w:rPr>
            </w:pPr>
            <w:r>
              <w:rPr>
                <w:rFonts w:hint="eastAsia" w:ascii="宋体" w:hAnsi="宋体"/>
                <w:sz w:val="24"/>
              </w:rPr>
              <w:t>分值分配</w:t>
            </w:r>
          </w:p>
        </w:tc>
      </w:tr>
      <w:tr w14:paraId="45D2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00" w:type="dxa"/>
            <w:tcBorders>
              <w:top w:val="single" w:color="auto" w:sz="4" w:space="0"/>
              <w:left w:val="single" w:color="auto" w:sz="4" w:space="0"/>
              <w:bottom w:val="single" w:color="auto" w:sz="4" w:space="0"/>
              <w:right w:val="single" w:color="auto" w:sz="4" w:space="0"/>
            </w:tcBorders>
            <w:vAlign w:val="center"/>
          </w:tcPr>
          <w:p w14:paraId="6D6C923F">
            <w:pPr>
              <w:spacing w:line="276" w:lineRule="auto"/>
              <w:jc w:val="center"/>
              <w:rPr>
                <w:rFonts w:ascii="宋体" w:hAnsi="宋体"/>
                <w:sz w:val="24"/>
              </w:rPr>
            </w:pPr>
            <w:r>
              <w:rPr>
                <w:rFonts w:hint="eastAsia" w:ascii="宋体" w:hAnsi="宋体"/>
                <w:sz w:val="24"/>
              </w:rPr>
              <w:t>服务部分</w:t>
            </w:r>
          </w:p>
        </w:tc>
        <w:tc>
          <w:tcPr>
            <w:tcW w:w="4322" w:type="dxa"/>
            <w:tcBorders>
              <w:top w:val="single" w:color="auto" w:sz="4" w:space="0"/>
              <w:left w:val="single" w:color="auto" w:sz="4" w:space="0"/>
              <w:bottom w:val="single" w:color="auto" w:sz="4" w:space="0"/>
              <w:right w:val="single" w:color="auto" w:sz="4" w:space="0"/>
            </w:tcBorders>
            <w:vAlign w:val="center"/>
          </w:tcPr>
          <w:p w14:paraId="79337312">
            <w:pPr>
              <w:spacing w:line="276" w:lineRule="auto"/>
              <w:jc w:val="center"/>
              <w:rPr>
                <w:rFonts w:ascii="宋体" w:hAnsi="宋体"/>
                <w:sz w:val="24"/>
              </w:rPr>
            </w:pPr>
            <w:r>
              <w:rPr>
                <w:rFonts w:hint="eastAsia" w:ascii="宋体" w:hAnsi="宋体"/>
                <w:sz w:val="24"/>
              </w:rPr>
              <w:t>60分</w:t>
            </w:r>
          </w:p>
        </w:tc>
      </w:tr>
      <w:tr w14:paraId="094E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00" w:type="dxa"/>
            <w:tcBorders>
              <w:top w:val="single" w:color="auto" w:sz="4" w:space="0"/>
              <w:left w:val="single" w:color="auto" w:sz="4" w:space="0"/>
              <w:bottom w:val="single" w:color="auto" w:sz="4" w:space="0"/>
              <w:right w:val="single" w:color="auto" w:sz="4" w:space="0"/>
            </w:tcBorders>
            <w:vAlign w:val="center"/>
          </w:tcPr>
          <w:p w14:paraId="32DAEAB5">
            <w:pPr>
              <w:spacing w:line="276" w:lineRule="auto"/>
              <w:jc w:val="center"/>
              <w:rPr>
                <w:rFonts w:ascii="宋体" w:hAnsi="宋体"/>
                <w:sz w:val="24"/>
              </w:rPr>
            </w:pPr>
            <w:r>
              <w:rPr>
                <w:rFonts w:hint="eastAsia" w:ascii="宋体" w:hAnsi="宋体"/>
                <w:sz w:val="24"/>
              </w:rPr>
              <w:t>商务部分</w:t>
            </w:r>
          </w:p>
        </w:tc>
        <w:tc>
          <w:tcPr>
            <w:tcW w:w="4322" w:type="dxa"/>
            <w:tcBorders>
              <w:top w:val="single" w:color="auto" w:sz="4" w:space="0"/>
              <w:left w:val="single" w:color="auto" w:sz="4" w:space="0"/>
              <w:bottom w:val="single" w:color="auto" w:sz="4" w:space="0"/>
              <w:right w:val="single" w:color="auto" w:sz="4" w:space="0"/>
            </w:tcBorders>
            <w:vAlign w:val="center"/>
          </w:tcPr>
          <w:p w14:paraId="136AF53A">
            <w:pPr>
              <w:spacing w:line="276" w:lineRule="auto"/>
              <w:jc w:val="center"/>
              <w:rPr>
                <w:rFonts w:ascii="宋体" w:hAnsi="宋体"/>
                <w:sz w:val="24"/>
              </w:rPr>
            </w:pPr>
            <w:r>
              <w:rPr>
                <w:rFonts w:hint="eastAsia" w:ascii="宋体" w:hAnsi="宋体"/>
                <w:sz w:val="24"/>
              </w:rPr>
              <w:t>30分</w:t>
            </w:r>
          </w:p>
        </w:tc>
      </w:tr>
      <w:tr w14:paraId="517E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00" w:type="dxa"/>
            <w:tcBorders>
              <w:top w:val="single" w:color="auto" w:sz="4" w:space="0"/>
              <w:left w:val="single" w:color="auto" w:sz="4" w:space="0"/>
              <w:bottom w:val="single" w:color="auto" w:sz="4" w:space="0"/>
              <w:right w:val="single" w:color="auto" w:sz="4" w:space="0"/>
            </w:tcBorders>
            <w:vAlign w:val="center"/>
          </w:tcPr>
          <w:p w14:paraId="219A2683">
            <w:pPr>
              <w:spacing w:line="276" w:lineRule="auto"/>
              <w:jc w:val="center"/>
              <w:rPr>
                <w:rFonts w:ascii="宋体" w:hAnsi="宋体"/>
                <w:sz w:val="24"/>
              </w:rPr>
            </w:pPr>
            <w:r>
              <w:rPr>
                <w:rFonts w:hint="eastAsia" w:ascii="宋体" w:hAnsi="宋体"/>
                <w:sz w:val="24"/>
              </w:rPr>
              <w:t>价格部分</w:t>
            </w:r>
          </w:p>
        </w:tc>
        <w:tc>
          <w:tcPr>
            <w:tcW w:w="4322" w:type="dxa"/>
            <w:tcBorders>
              <w:top w:val="single" w:color="auto" w:sz="4" w:space="0"/>
              <w:left w:val="single" w:color="auto" w:sz="4" w:space="0"/>
              <w:bottom w:val="single" w:color="auto" w:sz="4" w:space="0"/>
              <w:right w:val="single" w:color="auto" w:sz="4" w:space="0"/>
            </w:tcBorders>
            <w:vAlign w:val="center"/>
          </w:tcPr>
          <w:p w14:paraId="31C44456">
            <w:pPr>
              <w:spacing w:line="276" w:lineRule="auto"/>
              <w:jc w:val="center"/>
              <w:rPr>
                <w:rFonts w:ascii="宋体" w:hAnsi="宋体"/>
                <w:sz w:val="24"/>
              </w:rPr>
            </w:pPr>
            <w:r>
              <w:rPr>
                <w:rFonts w:hint="eastAsia" w:ascii="宋体" w:hAnsi="宋体"/>
                <w:sz w:val="24"/>
              </w:rPr>
              <w:t>10分</w:t>
            </w:r>
          </w:p>
        </w:tc>
      </w:tr>
      <w:tr w14:paraId="2D26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700" w:type="dxa"/>
            <w:tcBorders>
              <w:top w:val="single" w:color="auto" w:sz="4" w:space="0"/>
              <w:left w:val="single" w:color="auto" w:sz="4" w:space="0"/>
              <w:bottom w:val="single" w:color="auto" w:sz="4" w:space="0"/>
              <w:right w:val="single" w:color="auto" w:sz="4" w:space="0"/>
            </w:tcBorders>
            <w:vAlign w:val="center"/>
          </w:tcPr>
          <w:p w14:paraId="778649AC">
            <w:pPr>
              <w:spacing w:line="276" w:lineRule="auto"/>
              <w:jc w:val="center"/>
              <w:rPr>
                <w:rFonts w:ascii="宋体" w:hAnsi="宋体"/>
                <w:sz w:val="24"/>
              </w:rPr>
            </w:pPr>
            <w:r>
              <w:rPr>
                <w:rFonts w:hint="eastAsia" w:ascii="宋体" w:hAnsi="宋体"/>
                <w:sz w:val="24"/>
              </w:rPr>
              <w:t>合计</w:t>
            </w:r>
          </w:p>
        </w:tc>
        <w:tc>
          <w:tcPr>
            <w:tcW w:w="4322" w:type="dxa"/>
            <w:tcBorders>
              <w:top w:val="single" w:color="auto" w:sz="4" w:space="0"/>
              <w:left w:val="single" w:color="auto" w:sz="4" w:space="0"/>
              <w:bottom w:val="single" w:color="auto" w:sz="4" w:space="0"/>
              <w:right w:val="single" w:color="auto" w:sz="4" w:space="0"/>
            </w:tcBorders>
            <w:vAlign w:val="center"/>
          </w:tcPr>
          <w:p w14:paraId="75C54CF5">
            <w:pPr>
              <w:spacing w:line="276" w:lineRule="auto"/>
              <w:jc w:val="center"/>
              <w:rPr>
                <w:rFonts w:ascii="宋体" w:hAnsi="宋体"/>
                <w:sz w:val="24"/>
              </w:rPr>
            </w:pPr>
            <w:r>
              <w:rPr>
                <w:rFonts w:hint="eastAsia" w:ascii="宋体" w:hAnsi="宋体"/>
                <w:sz w:val="24"/>
              </w:rPr>
              <w:t>100分</w:t>
            </w:r>
          </w:p>
        </w:tc>
      </w:tr>
    </w:tbl>
    <w:p w14:paraId="319AF247">
      <w:pPr>
        <w:spacing w:line="360" w:lineRule="auto"/>
        <w:rPr>
          <w:rFonts w:ascii="宋体" w:hAnsi="宋体"/>
          <w:b/>
          <w:sz w:val="24"/>
        </w:rPr>
      </w:pPr>
    </w:p>
    <w:p w14:paraId="204D695C">
      <w:pPr>
        <w:pStyle w:val="12"/>
        <w:spacing w:line="360" w:lineRule="auto"/>
        <w:ind w:firstLine="482"/>
        <w:rPr>
          <w:rFonts w:ascii="宋体" w:hAnsi="宋体"/>
          <w:sz w:val="24"/>
        </w:rPr>
      </w:pPr>
      <w:r>
        <w:rPr>
          <w:rFonts w:hint="eastAsia" w:ascii="宋体" w:hAnsi="宋体"/>
          <w:b/>
          <w:sz w:val="24"/>
        </w:rPr>
        <w:t>二、评分因素（分值具体分配）</w:t>
      </w:r>
    </w:p>
    <w:p w14:paraId="54CFA08C">
      <w:pPr>
        <w:spacing w:line="360" w:lineRule="auto"/>
        <w:jc w:val="center"/>
        <w:rPr>
          <w:rFonts w:ascii="宋体" w:hAnsi="宋体"/>
          <w:b/>
          <w:sz w:val="24"/>
        </w:rPr>
      </w:pPr>
    </w:p>
    <w:tbl>
      <w:tblPr>
        <w:tblStyle w:val="8"/>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944"/>
        <w:gridCol w:w="6885"/>
        <w:gridCol w:w="775"/>
      </w:tblGrid>
      <w:tr w14:paraId="359D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78" w:type="dxa"/>
            <w:vAlign w:val="center"/>
          </w:tcPr>
          <w:p w14:paraId="3C4F088E">
            <w:pPr>
              <w:widowControl/>
              <w:spacing w:line="380" w:lineRule="exact"/>
              <w:jc w:val="center"/>
              <w:rPr>
                <w:rFonts w:ascii="宋体" w:hAnsi="宋体" w:cs="宋体"/>
                <w:b/>
                <w:kern w:val="0"/>
                <w:sz w:val="24"/>
              </w:rPr>
            </w:pPr>
            <w:r>
              <w:rPr>
                <w:rFonts w:hint="eastAsia" w:ascii="宋体" w:hAnsi="宋体" w:cs="宋体"/>
                <w:b/>
                <w:kern w:val="0"/>
                <w:sz w:val="24"/>
              </w:rPr>
              <w:t>总项及权重</w:t>
            </w:r>
          </w:p>
        </w:tc>
        <w:tc>
          <w:tcPr>
            <w:tcW w:w="944" w:type="dxa"/>
            <w:vAlign w:val="center"/>
          </w:tcPr>
          <w:p w14:paraId="3F08066E">
            <w:pPr>
              <w:widowControl/>
              <w:spacing w:line="380" w:lineRule="exact"/>
              <w:jc w:val="center"/>
              <w:rPr>
                <w:rFonts w:ascii="宋体" w:hAnsi="宋体" w:cs="宋体"/>
                <w:b/>
                <w:kern w:val="0"/>
                <w:sz w:val="24"/>
              </w:rPr>
            </w:pPr>
            <w:r>
              <w:rPr>
                <w:rFonts w:hint="eastAsia" w:ascii="宋体" w:hAnsi="宋体" w:cs="宋体"/>
                <w:b/>
                <w:kern w:val="0"/>
                <w:sz w:val="24"/>
              </w:rPr>
              <w:t>分项</w:t>
            </w:r>
          </w:p>
        </w:tc>
        <w:tc>
          <w:tcPr>
            <w:tcW w:w="6885" w:type="dxa"/>
            <w:vAlign w:val="center"/>
          </w:tcPr>
          <w:p w14:paraId="31EB7172">
            <w:pPr>
              <w:widowControl/>
              <w:spacing w:line="380" w:lineRule="exact"/>
              <w:jc w:val="center"/>
              <w:rPr>
                <w:rFonts w:ascii="宋体" w:hAnsi="宋体" w:cs="宋体"/>
                <w:b/>
                <w:kern w:val="0"/>
                <w:sz w:val="24"/>
              </w:rPr>
            </w:pPr>
            <w:r>
              <w:rPr>
                <w:rFonts w:hint="eastAsia" w:ascii="宋体" w:hAnsi="宋体" w:cs="宋体"/>
                <w:b/>
                <w:kern w:val="0"/>
                <w:sz w:val="24"/>
              </w:rPr>
              <w:t>评价要点</w:t>
            </w:r>
          </w:p>
        </w:tc>
        <w:tc>
          <w:tcPr>
            <w:tcW w:w="775" w:type="dxa"/>
            <w:vAlign w:val="center"/>
          </w:tcPr>
          <w:p w14:paraId="306BE0D5">
            <w:pPr>
              <w:widowControl/>
              <w:spacing w:line="380" w:lineRule="exact"/>
              <w:jc w:val="center"/>
              <w:rPr>
                <w:rFonts w:ascii="宋体" w:hAnsi="宋体" w:cs="宋体"/>
                <w:b/>
                <w:kern w:val="0"/>
                <w:sz w:val="24"/>
              </w:rPr>
            </w:pPr>
            <w:r>
              <w:rPr>
                <w:rFonts w:hint="eastAsia" w:ascii="宋体" w:hAnsi="宋体" w:cs="宋体"/>
                <w:b/>
                <w:kern w:val="0"/>
                <w:sz w:val="24"/>
              </w:rPr>
              <w:t>分值权重</w:t>
            </w:r>
          </w:p>
        </w:tc>
      </w:tr>
      <w:tr w14:paraId="19E5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jc w:val="center"/>
        </w:trPr>
        <w:tc>
          <w:tcPr>
            <w:tcW w:w="1178" w:type="dxa"/>
            <w:vMerge w:val="restart"/>
            <w:vAlign w:val="center"/>
          </w:tcPr>
          <w:p w14:paraId="64AD34ED">
            <w:pPr>
              <w:widowControl/>
              <w:spacing w:line="380" w:lineRule="exact"/>
              <w:jc w:val="center"/>
              <w:rPr>
                <w:rFonts w:ascii="宋体" w:hAnsi="宋体" w:cs="宋体"/>
                <w:b/>
                <w:kern w:val="0"/>
                <w:sz w:val="24"/>
              </w:rPr>
            </w:pPr>
            <w:r>
              <w:rPr>
                <w:rFonts w:hint="eastAsia" w:ascii="宋体" w:hAnsi="宋体" w:cs="宋体"/>
                <w:b/>
                <w:kern w:val="0"/>
                <w:sz w:val="24"/>
              </w:rPr>
              <w:t>服务</w:t>
            </w:r>
          </w:p>
          <w:p w14:paraId="63D446A8">
            <w:pPr>
              <w:widowControl/>
              <w:spacing w:line="380" w:lineRule="exact"/>
              <w:jc w:val="center"/>
              <w:rPr>
                <w:rFonts w:ascii="宋体" w:hAnsi="宋体" w:cs="宋体"/>
                <w:b/>
                <w:kern w:val="0"/>
                <w:sz w:val="24"/>
              </w:rPr>
            </w:pPr>
            <w:r>
              <w:rPr>
                <w:rFonts w:hint="eastAsia" w:ascii="宋体" w:hAnsi="宋体" w:cs="宋体"/>
                <w:b/>
                <w:kern w:val="0"/>
                <w:sz w:val="24"/>
              </w:rPr>
              <w:t>部分</w:t>
            </w:r>
          </w:p>
          <w:p w14:paraId="056DC211">
            <w:pPr>
              <w:widowControl/>
              <w:spacing w:line="380" w:lineRule="exact"/>
              <w:jc w:val="center"/>
              <w:rPr>
                <w:rFonts w:ascii="宋体" w:hAnsi="宋体" w:cs="宋体"/>
                <w:b/>
                <w:kern w:val="0"/>
                <w:sz w:val="24"/>
              </w:rPr>
            </w:pPr>
            <w:r>
              <w:rPr>
                <w:rFonts w:hint="eastAsia" w:ascii="宋体" w:hAnsi="宋体" w:cs="宋体"/>
                <w:b/>
                <w:kern w:val="0"/>
                <w:sz w:val="24"/>
              </w:rPr>
              <w:t>60%</w:t>
            </w:r>
          </w:p>
        </w:tc>
        <w:tc>
          <w:tcPr>
            <w:tcW w:w="944" w:type="dxa"/>
            <w:vAlign w:val="center"/>
          </w:tcPr>
          <w:p w14:paraId="5497C592">
            <w:pPr>
              <w:spacing w:line="380" w:lineRule="exact"/>
              <w:jc w:val="center"/>
              <w:rPr>
                <w:rFonts w:ascii="宋体" w:hAnsi="宋体" w:cs="宋体"/>
                <w:sz w:val="24"/>
              </w:rPr>
            </w:pPr>
            <w:r>
              <w:rPr>
                <w:rFonts w:hint="eastAsia" w:ascii="宋体" w:hAnsi="宋体" w:cs="宋体"/>
                <w:sz w:val="24"/>
              </w:rPr>
              <w:t>（一）项目</w:t>
            </w:r>
          </w:p>
          <w:p w14:paraId="5EBAB3F5">
            <w:pPr>
              <w:spacing w:line="380" w:lineRule="exact"/>
              <w:jc w:val="center"/>
              <w:rPr>
                <w:rFonts w:ascii="宋体" w:hAnsi="宋体" w:cs="宋体"/>
                <w:sz w:val="24"/>
              </w:rPr>
            </w:pPr>
            <w:r>
              <w:rPr>
                <w:rFonts w:hint="eastAsia" w:ascii="宋体" w:hAnsi="宋体" w:cs="宋体"/>
                <w:sz w:val="24"/>
              </w:rPr>
              <w:t>团队</w:t>
            </w:r>
          </w:p>
        </w:tc>
        <w:tc>
          <w:tcPr>
            <w:tcW w:w="6885" w:type="dxa"/>
            <w:vAlign w:val="center"/>
          </w:tcPr>
          <w:p w14:paraId="3B96972B">
            <w:pPr>
              <w:widowControl/>
              <w:spacing w:line="380" w:lineRule="exact"/>
              <w:ind w:firstLine="440"/>
              <w:jc w:val="left"/>
              <w:rPr>
                <w:rFonts w:ascii="宋体" w:hAnsi="宋体" w:cs="宋体"/>
                <w:kern w:val="0"/>
                <w:sz w:val="24"/>
              </w:rPr>
            </w:pPr>
            <w:r>
              <w:rPr>
                <w:rFonts w:hint="eastAsia" w:ascii="宋体" w:hAnsi="宋体" w:cs="宋体"/>
                <w:kern w:val="0"/>
                <w:sz w:val="24"/>
              </w:rPr>
              <w:t>根据</w:t>
            </w:r>
            <w:r>
              <w:rPr>
                <w:rFonts w:hint="eastAsia" w:ascii="宋体" w:hAnsi="宋体" w:cs="宋体"/>
                <w:kern w:val="0"/>
                <w:sz w:val="24"/>
                <w:lang w:eastAsia="zh-CN"/>
              </w:rPr>
              <w:t>参选单位</w:t>
            </w:r>
            <w:r>
              <w:rPr>
                <w:rFonts w:hint="eastAsia" w:ascii="宋体" w:hAnsi="宋体" w:cs="宋体"/>
                <w:kern w:val="0"/>
                <w:sz w:val="24"/>
              </w:rPr>
              <w:t>所针对本项目投入项目团队人员构成、资质及工作经验等进行评审。</w:t>
            </w:r>
          </w:p>
          <w:p w14:paraId="6EDA8473">
            <w:pPr>
              <w:widowControl/>
              <w:spacing w:line="380" w:lineRule="exact"/>
              <w:ind w:firstLine="440"/>
              <w:jc w:val="left"/>
              <w:rPr>
                <w:rFonts w:ascii="宋体" w:hAnsi="宋体" w:cs="宋体"/>
                <w:kern w:val="0"/>
                <w:sz w:val="24"/>
              </w:rPr>
            </w:pPr>
            <w:r>
              <w:rPr>
                <w:rFonts w:hint="eastAsia" w:ascii="宋体" w:hAnsi="宋体" w:cs="宋体"/>
                <w:kern w:val="0"/>
                <w:sz w:val="24"/>
              </w:rPr>
              <w:t>1.团队人员组成：为本项目服务的团队人员在专业能力方面构成合理，相对稳定，人员不足时能够及时通报、补充配齐。符合要求且保障措施到位的，得4-5分；基本符合要求且具备一定保障能力的，得2-3分；不符合要求或保障能力较差的，得0-1分。</w:t>
            </w:r>
          </w:p>
          <w:p w14:paraId="2083ADB0">
            <w:pPr>
              <w:widowControl/>
              <w:spacing w:line="380" w:lineRule="exact"/>
              <w:ind w:firstLine="440"/>
              <w:jc w:val="left"/>
              <w:rPr>
                <w:rFonts w:ascii="宋体" w:hAnsi="宋体" w:cs="宋体"/>
                <w:kern w:val="0"/>
                <w:sz w:val="24"/>
              </w:rPr>
            </w:pPr>
            <w:r>
              <w:rPr>
                <w:rFonts w:hint="eastAsia" w:ascii="宋体" w:hAnsi="宋体" w:cs="宋体"/>
                <w:kern w:val="0"/>
                <w:sz w:val="24"/>
              </w:rPr>
              <w:t>2.团队人员资质：①项目负责人具有中级技术职称的，得3分，具有高级及以上技术职称的，得6分（本项满分6分）；②服务团队成员中，拥有注册会计师、法律职业资格证书、证券从业资格的，每1人得3分（本项满分9分）。</w:t>
            </w:r>
          </w:p>
        </w:tc>
        <w:tc>
          <w:tcPr>
            <w:tcW w:w="775" w:type="dxa"/>
            <w:vAlign w:val="center"/>
          </w:tcPr>
          <w:p w14:paraId="76AB04D6">
            <w:pPr>
              <w:spacing w:line="380" w:lineRule="exact"/>
              <w:jc w:val="center"/>
              <w:rPr>
                <w:rFonts w:ascii="宋体" w:hAnsi="宋体" w:cs="宋体"/>
                <w:sz w:val="24"/>
              </w:rPr>
            </w:pPr>
            <w:r>
              <w:rPr>
                <w:rFonts w:hint="eastAsia" w:ascii="宋体" w:hAnsi="宋体" w:cs="宋体"/>
                <w:sz w:val="24"/>
              </w:rPr>
              <w:t>20</w:t>
            </w:r>
          </w:p>
        </w:tc>
      </w:tr>
      <w:tr w14:paraId="06CF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78" w:type="dxa"/>
            <w:vMerge w:val="continue"/>
            <w:vAlign w:val="center"/>
          </w:tcPr>
          <w:p w14:paraId="15534676">
            <w:pPr>
              <w:spacing w:line="380" w:lineRule="exact"/>
              <w:jc w:val="center"/>
              <w:rPr>
                <w:rFonts w:ascii="宋体" w:hAnsi="宋体" w:cs="宋体"/>
                <w:sz w:val="24"/>
              </w:rPr>
            </w:pPr>
          </w:p>
        </w:tc>
        <w:tc>
          <w:tcPr>
            <w:tcW w:w="944" w:type="dxa"/>
            <w:vAlign w:val="center"/>
          </w:tcPr>
          <w:p w14:paraId="36C2CBC6">
            <w:pPr>
              <w:spacing w:line="380" w:lineRule="exact"/>
              <w:jc w:val="center"/>
              <w:rPr>
                <w:rFonts w:ascii="宋体" w:hAnsi="宋体" w:cs="宋体"/>
                <w:sz w:val="24"/>
              </w:rPr>
            </w:pPr>
            <w:r>
              <w:rPr>
                <w:rFonts w:hint="eastAsia" w:ascii="宋体" w:hAnsi="宋体" w:cs="宋体"/>
                <w:sz w:val="24"/>
              </w:rPr>
              <w:t>（二）服务 方案</w:t>
            </w:r>
          </w:p>
        </w:tc>
        <w:tc>
          <w:tcPr>
            <w:tcW w:w="6885" w:type="dxa"/>
            <w:vAlign w:val="center"/>
          </w:tcPr>
          <w:p w14:paraId="3E1DB787">
            <w:pPr>
              <w:widowControl/>
              <w:spacing w:line="380" w:lineRule="exact"/>
              <w:jc w:val="left"/>
              <w:rPr>
                <w:rFonts w:ascii="宋体" w:hAnsi="宋体" w:cs="宋体"/>
                <w:kern w:val="0"/>
                <w:sz w:val="24"/>
              </w:rPr>
            </w:pPr>
            <w:r>
              <w:rPr>
                <w:rFonts w:hint="eastAsia" w:ascii="宋体" w:hAnsi="宋体" w:cs="宋体"/>
                <w:kern w:val="0"/>
                <w:sz w:val="24"/>
              </w:rPr>
              <w:t>根据</w:t>
            </w:r>
            <w:r>
              <w:rPr>
                <w:rFonts w:hint="eastAsia" w:ascii="宋体" w:hAnsi="宋体" w:cs="宋体"/>
                <w:kern w:val="0"/>
                <w:sz w:val="24"/>
                <w:lang w:eastAsia="zh-CN"/>
              </w:rPr>
              <w:t>竞选</w:t>
            </w:r>
            <w:r>
              <w:rPr>
                <w:rFonts w:hint="eastAsia" w:ascii="宋体" w:hAnsi="宋体" w:cs="宋体"/>
                <w:kern w:val="0"/>
                <w:sz w:val="24"/>
              </w:rPr>
              <w:t>人提供的服务方案进行打分</w:t>
            </w:r>
          </w:p>
          <w:p w14:paraId="15167D61">
            <w:pPr>
              <w:widowControl/>
              <w:spacing w:line="380" w:lineRule="exact"/>
              <w:ind w:firstLine="480" w:firstLineChars="200"/>
              <w:jc w:val="left"/>
              <w:rPr>
                <w:rFonts w:ascii="宋体" w:hAnsi="宋体" w:cs="宋体"/>
                <w:kern w:val="0"/>
                <w:sz w:val="24"/>
              </w:rPr>
            </w:pPr>
            <w:r>
              <w:rPr>
                <w:rFonts w:hint="eastAsia" w:ascii="宋体" w:hAnsi="宋体" w:cs="宋体"/>
                <w:kern w:val="0"/>
                <w:sz w:val="24"/>
              </w:rPr>
              <w:t>1.对项目和咨询服务需求的理解（10分）</w:t>
            </w:r>
          </w:p>
          <w:p w14:paraId="1AD4A2B8">
            <w:pPr>
              <w:widowControl/>
              <w:spacing w:line="380" w:lineRule="exact"/>
              <w:ind w:firstLine="480" w:firstLineChars="200"/>
              <w:jc w:val="left"/>
              <w:rPr>
                <w:rFonts w:ascii="宋体" w:hAnsi="宋体" w:cs="宋体"/>
                <w:kern w:val="0"/>
                <w:sz w:val="24"/>
              </w:rPr>
            </w:pPr>
            <w:r>
              <w:rPr>
                <w:rFonts w:hint="eastAsia" w:ascii="宋体" w:hAnsi="宋体" w:cs="宋体"/>
                <w:kern w:val="0"/>
                <w:sz w:val="24"/>
              </w:rPr>
              <w:t>根据</w:t>
            </w:r>
            <w:r>
              <w:rPr>
                <w:rFonts w:hint="eastAsia" w:ascii="宋体" w:hAnsi="宋体" w:cs="宋体"/>
                <w:kern w:val="0"/>
                <w:sz w:val="24"/>
                <w:lang w:eastAsia="zh-CN"/>
              </w:rPr>
              <w:t>竞选</w:t>
            </w:r>
            <w:r>
              <w:rPr>
                <w:rFonts w:hint="eastAsia" w:ascii="宋体" w:hAnsi="宋体" w:cs="宋体"/>
                <w:kern w:val="0"/>
                <w:sz w:val="24"/>
              </w:rPr>
              <w:t>人对项目咨询服务需求的理解与判断进行科学合理的评定。理解到位、突出要点的，得7-10分；理解较为全面、要点相对突出的，得3-6分；理解一般、未突出提炼要点或提炼不到位的，得1-2分。</w:t>
            </w:r>
          </w:p>
          <w:p w14:paraId="6A733453">
            <w:pPr>
              <w:widowControl/>
              <w:spacing w:line="380" w:lineRule="exact"/>
              <w:ind w:firstLine="480" w:firstLineChars="200"/>
              <w:jc w:val="left"/>
              <w:rPr>
                <w:rFonts w:ascii="宋体" w:hAnsi="宋体" w:cs="宋体"/>
                <w:kern w:val="0"/>
                <w:sz w:val="24"/>
              </w:rPr>
            </w:pPr>
            <w:r>
              <w:rPr>
                <w:rFonts w:hint="eastAsia" w:ascii="宋体" w:hAnsi="宋体" w:cs="宋体"/>
                <w:kern w:val="0"/>
                <w:sz w:val="24"/>
              </w:rPr>
              <w:t>2.咨询服务方案（25分）</w:t>
            </w:r>
          </w:p>
          <w:p w14:paraId="60AB38EE">
            <w:pPr>
              <w:widowControl/>
              <w:spacing w:line="380" w:lineRule="exact"/>
              <w:ind w:firstLine="480" w:firstLineChars="200"/>
              <w:jc w:val="left"/>
              <w:rPr>
                <w:rFonts w:ascii="宋体" w:hAnsi="宋体" w:cs="宋体"/>
                <w:kern w:val="0"/>
                <w:sz w:val="24"/>
              </w:rPr>
            </w:pPr>
            <w:r>
              <w:rPr>
                <w:rFonts w:hint="eastAsia" w:ascii="宋体" w:hAnsi="宋体" w:cs="宋体"/>
                <w:kern w:val="0"/>
                <w:sz w:val="24"/>
              </w:rPr>
              <w:t xml:space="preserve">结合本项目服务需求，以投资某特许经营项目为假设，提出相应的咨询服务方案，包括投资决策过程中应重点关注的要点难点问题，投资可行性评估工作范围，投资风险识别与建议措施，投资项目可采用的运作方式、交易结构、回报机制，通行合同体系、测算思路等。一档（18-25分）：服务方案内容全面，分析完整清晰，要点难点表述清楚的；二档（9-17分）：服务方案内容较为全面，分析相对完整，表述了要点难点的；三挡（1-8分）：服务方案内容不全面，分析不完整或不清晰，要点难点表述不清的。 </w:t>
            </w:r>
          </w:p>
          <w:p w14:paraId="23B3E811">
            <w:pPr>
              <w:widowControl/>
              <w:spacing w:line="380" w:lineRule="exact"/>
              <w:ind w:firstLine="480" w:firstLineChars="200"/>
              <w:jc w:val="left"/>
              <w:rPr>
                <w:rFonts w:ascii="宋体" w:hAnsi="宋体" w:cs="宋体"/>
                <w:kern w:val="0"/>
                <w:sz w:val="24"/>
              </w:rPr>
            </w:pPr>
            <w:r>
              <w:rPr>
                <w:rFonts w:hint="eastAsia" w:ascii="宋体" w:hAnsi="宋体" w:cs="宋体"/>
                <w:kern w:val="0"/>
                <w:sz w:val="24"/>
              </w:rPr>
              <w:t>3.服务保障措施（5分）</w:t>
            </w:r>
          </w:p>
          <w:p w14:paraId="57E7176B">
            <w:pPr>
              <w:widowControl/>
              <w:spacing w:line="380" w:lineRule="exact"/>
              <w:ind w:firstLine="480" w:firstLineChars="200"/>
              <w:jc w:val="left"/>
              <w:rPr>
                <w:rFonts w:ascii="宋体" w:hAnsi="宋体" w:cs="宋体"/>
                <w:kern w:val="0"/>
                <w:sz w:val="24"/>
              </w:rPr>
            </w:pPr>
            <w:r>
              <w:rPr>
                <w:rFonts w:hint="eastAsia" w:ascii="宋体" w:hAnsi="宋体" w:cs="宋体"/>
                <w:kern w:val="0"/>
                <w:sz w:val="24"/>
              </w:rPr>
              <w:t>结合本项目特点提出服务保障措施。一档（11-15分）：保障措施到位、合理的；二档（6-10分）：保障措施基本到位、相对合理的；三档（1-5分）：保障措施不全面、不合理的。</w:t>
            </w:r>
          </w:p>
        </w:tc>
        <w:tc>
          <w:tcPr>
            <w:tcW w:w="775" w:type="dxa"/>
            <w:vAlign w:val="center"/>
          </w:tcPr>
          <w:p w14:paraId="577A3850">
            <w:pPr>
              <w:spacing w:line="380" w:lineRule="exact"/>
              <w:jc w:val="center"/>
              <w:rPr>
                <w:rFonts w:ascii="宋体" w:hAnsi="宋体" w:eastAsia="宋体" w:cs="宋体"/>
                <w:sz w:val="24"/>
              </w:rPr>
            </w:pPr>
            <w:r>
              <w:rPr>
                <w:rFonts w:hint="eastAsia" w:ascii="宋体" w:hAnsi="宋体" w:cs="宋体"/>
                <w:sz w:val="24"/>
              </w:rPr>
              <w:t>40</w:t>
            </w:r>
          </w:p>
        </w:tc>
      </w:tr>
      <w:tr w14:paraId="1EE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1178" w:type="dxa"/>
            <w:shd w:val="clear" w:color="auto" w:fill="auto"/>
            <w:vAlign w:val="center"/>
          </w:tcPr>
          <w:p w14:paraId="3A937D6E">
            <w:pPr>
              <w:widowControl/>
              <w:spacing w:line="380" w:lineRule="exact"/>
              <w:jc w:val="center"/>
              <w:rPr>
                <w:rFonts w:ascii="宋体" w:hAnsi="宋体" w:cs="宋体"/>
                <w:b/>
                <w:kern w:val="0"/>
                <w:sz w:val="24"/>
              </w:rPr>
            </w:pPr>
            <w:r>
              <w:rPr>
                <w:rFonts w:hint="eastAsia" w:ascii="宋体" w:hAnsi="宋体" w:cs="宋体"/>
                <w:b/>
                <w:kern w:val="0"/>
                <w:sz w:val="24"/>
              </w:rPr>
              <w:t>商务</w:t>
            </w:r>
          </w:p>
          <w:p w14:paraId="473FBBCD">
            <w:pPr>
              <w:widowControl/>
              <w:spacing w:line="380" w:lineRule="exact"/>
              <w:jc w:val="center"/>
              <w:rPr>
                <w:rFonts w:ascii="宋体" w:hAnsi="宋体" w:cs="宋体"/>
                <w:b/>
                <w:kern w:val="0"/>
                <w:sz w:val="24"/>
              </w:rPr>
            </w:pPr>
            <w:r>
              <w:rPr>
                <w:rFonts w:hint="eastAsia" w:ascii="宋体" w:hAnsi="宋体" w:cs="宋体"/>
                <w:b/>
                <w:kern w:val="0"/>
                <w:sz w:val="24"/>
              </w:rPr>
              <w:t>部分</w:t>
            </w:r>
          </w:p>
          <w:p w14:paraId="73149551">
            <w:pPr>
              <w:widowControl/>
              <w:spacing w:line="380" w:lineRule="exact"/>
              <w:jc w:val="center"/>
              <w:rPr>
                <w:rFonts w:ascii="宋体" w:hAnsi="宋体" w:cs="宋体"/>
                <w:sz w:val="24"/>
              </w:rPr>
            </w:pPr>
            <w:r>
              <w:rPr>
                <w:rFonts w:hint="eastAsia" w:ascii="宋体" w:hAnsi="宋体" w:cs="宋体"/>
                <w:b/>
                <w:kern w:val="0"/>
                <w:sz w:val="24"/>
              </w:rPr>
              <w:t>30%</w:t>
            </w:r>
          </w:p>
        </w:tc>
        <w:tc>
          <w:tcPr>
            <w:tcW w:w="944" w:type="dxa"/>
            <w:shd w:val="clear" w:color="auto" w:fill="auto"/>
            <w:vAlign w:val="center"/>
          </w:tcPr>
          <w:p w14:paraId="77B12934">
            <w:pPr>
              <w:widowControl/>
              <w:spacing w:line="380" w:lineRule="exact"/>
              <w:jc w:val="center"/>
              <w:rPr>
                <w:rFonts w:ascii="宋体" w:hAnsi="宋体" w:cs="宋体"/>
                <w:sz w:val="24"/>
              </w:rPr>
            </w:pPr>
            <w:r>
              <w:rPr>
                <w:rFonts w:hint="eastAsia" w:ascii="宋体" w:hAnsi="宋体" w:cs="宋体"/>
                <w:sz w:val="24"/>
              </w:rPr>
              <w:t>业绩 经验</w:t>
            </w:r>
          </w:p>
        </w:tc>
        <w:tc>
          <w:tcPr>
            <w:tcW w:w="6885" w:type="dxa"/>
            <w:shd w:val="clear" w:color="000000" w:fill="FFFFFF"/>
            <w:vAlign w:val="center"/>
          </w:tcPr>
          <w:p w14:paraId="62869591">
            <w:pPr>
              <w:spacing w:line="380" w:lineRule="exact"/>
              <w:ind w:firstLine="480" w:firstLineChars="200"/>
              <w:rPr>
                <w:rFonts w:ascii="宋体" w:hAnsi="宋体"/>
                <w:sz w:val="24"/>
              </w:rPr>
            </w:pPr>
            <w:r>
              <w:rPr>
                <w:rFonts w:hint="eastAsia" w:ascii="宋体" w:hAnsi="宋体"/>
                <w:sz w:val="24"/>
              </w:rPr>
              <w:t>根据</w:t>
            </w:r>
            <w:r>
              <w:rPr>
                <w:rFonts w:hint="eastAsia" w:ascii="宋体" w:hAnsi="宋体" w:cs="宋体"/>
                <w:kern w:val="0"/>
                <w:sz w:val="24"/>
                <w:lang w:eastAsia="zh-CN"/>
              </w:rPr>
              <w:t>参选单位</w:t>
            </w:r>
            <w:r>
              <w:rPr>
                <w:rFonts w:hint="eastAsia" w:ascii="宋体" w:hAnsi="宋体"/>
                <w:sz w:val="24"/>
              </w:rPr>
              <w:t>类似投资服务业绩经验进行评审</w:t>
            </w:r>
            <w:r>
              <w:rPr>
                <w:rFonts w:ascii="宋体" w:hAnsi="宋体"/>
                <w:sz w:val="24"/>
              </w:rPr>
              <w:t>。</w:t>
            </w:r>
          </w:p>
          <w:p w14:paraId="6024C83F">
            <w:pPr>
              <w:spacing w:line="380" w:lineRule="exact"/>
              <w:ind w:firstLine="480" w:firstLineChars="200"/>
              <w:rPr>
                <w:rFonts w:ascii="宋体" w:hAnsi="宋体"/>
                <w:sz w:val="24"/>
              </w:rPr>
            </w:pPr>
            <w:r>
              <w:rPr>
                <w:rFonts w:hint="eastAsia" w:ascii="宋体" w:hAnsi="宋体" w:cs="宋体"/>
                <w:kern w:val="0"/>
                <w:sz w:val="24"/>
                <w:lang w:eastAsia="zh-CN"/>
              </w:rPr>
              <w:t>参选单位</w:t>
            </w:r>
            <w:r>
              <w:rPr>
                <w:rFonts w:hint="eastAsia" w:ascii="宋体" w:hAnsi="宋体"/>
                <w:sz w:val="24"/>
              </w:rPr>
              <w:t>2021年</w:t>
            </w:r>
            <w:r>
              <w:rPr>
                <w:rFonts w:ascii="宋体" w:hAnsi="宋体"/>
                <w:sz w:val="24"/>
              </w:rPr>
              <w:t>1月1日</w:t>
            </w:r>
            <w:r>
              <w:rPr>
                <w:rFonts w:hint="eastAsia" w:ascii="宋体" w:hAnsi="宋体"/>
                <w:sz w:val="24"/>
              </w:rPr>
              <w:t>至今为</w:t>
            </w:r>
            <w:r>
              <w:rPr>
                <w:rFonts w:hint="eastAsia" w:ascii="宋体" w:hAnsi="宋体"/>
                <w:bCs/>
                <w:sz w:val="24"/>
                <w:lang w:val="en"/>
              </w:rPr>
              <w:t>国资国企、政府部门提供投资项目可行性研究或基础设施和公用事业领域政府和社会资本合作项目投融资咨询的业绩经验</w:t>
            </w:r>
            <w:r>
              <w:rPr>
                <w:rFonts w:hint="eastAsia" w:ascii="宋体" w:hAnsi="宋体"/>
                <w:sz w:val="24"/>
              </w:rPr>
              <w:t>。1个案例计5分，本项最高30分。所有项目需提供业绩合同（至少提供关键页：首页、体现业绩的服务内容页、盖章页）复印件并加盖</w:t>
            </w:r>
            <w:r>
              <w:rPr>
                <w:rFonts w:hint="eastAsia" w:ascii="宋体" w:hAnsi="宋体" w:cs="宋体"/>
                <w:kern w:val="0"/>
                <w:sz w:val="24"/>
                <w:lang w:eastAsia="zh-CN"/>
              </w:rPr>
              <w:t>竞选</w:t>
            </w:r>
            <w:r>
              <w:rPr>
                <w:rFonts w:hint="eastAsia" w:ascii="宋体" w:hAnsi="宋体"/>
                <w:sz w:val="24"/>
              </w:rPr>
              <w:t>人公章。</w:t>
            </w:r>
          </w:p>
        </w:tc>
        <w:tc>
          <w:tcPr>
            <w:tcW w:w="775" w:type="dxa"/>
            <w:vAlign w:val="center"/>
          </w:tcPr>
          <w:p w14:paraId="7E22FA4A">
            <w:pPr>
              <w:widowControl/>
              <w:spacing w:line="380" w:lineRule="exact"/>
              <w:jc w:val="center"/>
              <w:rPr>
                <w:rFonts w:ascii="宋体" w:hAnsi="宋体" w:cs="宋体"/>
                <w:kern w:val="0"/>
                <w:sz w:val="24"/>
              </w:rPr>
            </w:pPr>
            <w:r>
              <w:rPr>
                <w:rFonts w:hint="eastAsia" w:ascii="宋体" w:hAnsi="宋体" w:cs="宋体"/>
                <w:kern w:val="0"/>
                <w:sz w:val="24"/>
              </w:rPr>
              <w:t>30</w:t>
            </w:r>
          </w:p>
        </w:tc>
      </w:tr>
      <w:tr w14:paraId="5992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178" w:type="dxa"/>
            <w:vAlign w:val="center"/>
          </w:tcPr>
          <w:p w14:paraId="690639F1">
            <w:pPr>
              <w:widowControl/>
              <w:spacing w:line="380" w:lineRule="exact"/>
              <w:jc w:val="center"/>
              <w:rPr>
                <w:rFonts w:ascii="宋体" w:hAnsi="宋体" w:cs="宋体"/>
                <w:b/>
                <w:kern w:val="0"/>
                <w:sz w:val="24"/>
              </w:rPr>
            </w:pPr>
            <w:r>
              <w:rPr>
                <w:rFonts w:hint="eastAsia" w:ascii="宋体" w:hAnsi="宋体" w:cs="宋体"/>
                <w:b/>
                <w:kern w:val="0"/>
                <w:sz w:val="24"/>
              </w:rPr>
              <w:t>价格</w:t>
            </w:r>
          </w:p>
          <w:p w14:paraId="2EE9CD96">
            <w:pPr>
              <w:widowControl/>
              <w:spacing w:line="380" w:lineRule="exact"/>
              <w:jc w:val="center"/>
              <w:rPr>
                <w:rFonts w:ascii="宋体" w:hAnsi="宋体" w:cs="宋体"/>
                <w:b/>
                <w:kern w:val="0"/>
                <w:sz w:val="24"/>
              </w:rPr>
            </w:pPr>
            <w:r>
              <w:rPr>
                <w:rFonts w:hint="eastAsia" w:ascii="宋体" w:hAnsi="宋体" w:cs="宋体"/>
                <w:b/>
                <w:kern w:val="0"/>
                <w:sz w:val="24"/>
              </w:rPr>
              <w:t>部分</w:t>
            </w:r>
          </w:p>
          <w:p w14:paraId="5A80B0B5">
            <w:pPr>
              <w:widowControl/>
              <w:spacing w:line="380" w:lineRule="exact"/>
              <w:jc w:val="center"/>
              <w:rPr>
                <w:rFonts w:ascii="宋体" w:hAnsi="宋体" w:cs="宋体"/>
                <w:b/>
                <w:kern w:val="0"/>
                <w:sz w:val="24"/>
              </w:rPr>
            </w:pPr>
            <w:r>
              <w:rPr>
                <w:rFonts w:hint="eastAsia" w:ascii="宋体" w:hAnsi="宋体" w:cs="宋体"/>
                <w:b/>
                <w:kern w:val="0"/>
                <w:sz w:val="24"/>
              </w:rPr>
              <w:t>10%</w:t>
            </w:r>
          </w:p>
        </w:tc>
        <w:tc>
          <w:tcPr>
            <w:tcW w:w="944" w:type="dxa"/>
            <w:vAlign w:val="center"/>
          </w:tcPr>
          <w:p w14:paraId="1607F8F5">
            <w:pPr>
              <w:spacing w:line="380" w:lineRule="exact"/>
              <w:jc w:val="center"/>
              <w:rPr>
                <w:rFonts w:ascii="宋体" w:hAnsi="宋体" w:cs="宋体"/>
                <w:sz w:val="24"/>
              </w:rPr>
            </w:pPr>
            <w:r>
              <w:rPr>
                <w:rFonts w:hint="eastAsia" w:ascii="宋体" w:hAnsi="宋体" w:cs="宋体"/>
                <w:sz w:val="24"/>
              </w:rPr>
              <w:t>价格</w:t>
            </w:r>
          </w:p>
        </w:tc>
        <w:tc>
          <w:tcPr>
            <w:tcW w:w="6885" w:type="dxa"/>
            <w:vAlign w:val="center"/>
          </w:tcPr>
          <w:p w14:paraId="4AE68361">
            <w:pPr>
              <w:spacing w:line="380" w:lineRule="exact"/>
              <w:ind w:firstLine="480" w:firstLineChars="200"/>
              <w:rPr>
                <w:rFonts w:ascii="宋体" w:hAnsi="宋体" w:cs="宋体"/>
                <w:kern w:val="0"/>
                <w:sz w:val="24"/>
              </w:rPr>
            </w:pPr>
            <w:r>
              <w:rPr>
                <w:rFonts w:hint="eastAsia" w:ascii="宋体" w:hAnsi="宋体" w:cs="宋体"/>
                <w:kern w:val="0"/>
                <w:sz w:val="24"/>
              </w:rPr>
              <w:t>以满足选聘条件的所有报名机构的报价平均值作为选聘基准价，按以下列公式计算报价得分：报价得分=（1-|选聘基准价-报价|/选聘基准价）×10。</w:t>
            </w:r>
          </w:p>
          <w:p w14:paraId="084AF8CF">
            <w:pPr>
              <w:spacing w:line="380" w:lineRule="exact"/>
              <w:ind w:firstLine="480" w:firstLineChars="200"/>
              <w:rPr>
                <w:rFonts w:ascii="宋体" w:hAnsi="宋体" w:cs="宋体"/>
                <w:kern w:val="0"/>
                <w:sz w:val="24"/>
              </w:rPr>
            </w:pPr>
            <w:r>
              <w:rPr>
                <w:rFonts w:hint="eastAsia" w:ascii="宋体" w:hAnsi="宋体" w:cs="宋体"/>
                <w:kern w:val="0"/>
                <w:sz w:val="24"/>
              </w:rPr>
              <w:t>所计算出的报价分数不能超过最高分10分。</w:t>
            </w:r>
          </w:p>
        </w:tc>
        <w:tc>
          <w:tcPr>
            <w:tcW w:w="775" w:type="dxa"/>
            <w:vAlign w:val="center"/>
          </w:tcPr>
          <w:p w14:paraId="3F37C523">
            <w:pPr>
              <w:spacing w:line="380" w:lineRule="exact"/>
              <w:jc w:val="center"/>
              <w:rPr>
                <w:rFonts w:ascii="宋体" w:hAnsi="宋体" w:eastAsia="宋体" w:cs="宋体"/>
                <w:sz w:val="24"/>
              </w:rPr>
            </w:pPr>
            <w:r>
              <w:rPr>
                <w:rFonts w:hint="eastAsia" w:ascii="宋体" w:hAnsi="宋体" w:cs="宋体"/>
                <w:sz w:val="24"/>
              </w:rPr>
              <w:t>10</w:t>
            </w:r>
          </w:p>
        </w:tc>
      </w:tr>
    </w:tbl>
    <w:p w14:paraId="696E6A8B">
      <w:pPr>
        <w:widowControl/>
        <w:jc w:val="left"/>
        <w:rPr>
          <w:rFonts w:ascii="仿宋_GB2312" w:hAnsi="仿宋_GB2312" w:eastAsia="仿宋_GB2312" w:cs="仿宋_GB2312"/>
          <w:sz w:val="32"/>
          <w:szCs w:val="40"/>
        </w:rPr>
      </w:pPr>
    </w:p>
    <w:p w14:paraId="765C1AB0">
      <w:pPr>
        <w:widowControl/>
        <w:jc w:val="left"/>
        <w:rPr>
          <w:rFonts w:ascii="仿宋_GB2312" w:hAnsi="仿宋_GB2312" w:eastAsia="仿宋_GB2312" w:cs="仿宋_GB2312"/>
          <w:sz w:val="32"/>
          <w:szCs w:val="40"/>
        </w:rPr>
      </w:pPr>
      <w:r>
        <w:rPr>
          <w:rFonts w:ascii="仿宋_GB2312" w:hAnsi="仿宋_GB2312" w:eastAsia="仿宋_GB2312" w:cs="仿宋_GB2312"/>
          <w:sz w:val="32"/>
          <w:szCs w:val="40"/>
        </w:rPr>
        <w:br w:type="page"/>
      </w:r>
    </w:p>
    <w:p w14:paraId="4BFA37C1">
      <w:pPr>
        <w:adjustRightInd w:val="0"/>
        <w:snapToGrid w:val="0"/>
        <w:spacing w:line="360" w:lineRule="auto"/>
        <w:jc w:val="center"/>
        <w:outlineLvl w:val="0"/>
        <w:rPr>
          <w:rFonts w:ascii="黑体" w:hAnsi="黑体" w:eastAsia="黑体"/>
          <w:bCs/>
          <w:sz w:val="36"/>
          <w:szCs w:val="36"/>
          <w:highlight w:val="none"/>
        </w:rPr>
      </w:pPr>
      <w:r>
        <w:rPr>
          <w:rFonts w:hint="eastAsia" w:ascii="黑体" w:hAnsi="黑体" w:eastAsia="黑体"/>
          <w:bCs/>
          <w:sz w:val="36"/>
          <w:szCs w:val="36"/>
          <w:highlight w:val="none"/>
        </w:rPr>
        <w:t>第三章 合同主要条款</w:t>
      </w:r>
    </w:p>
    <w:p w14:paraId="5939B81C">
      <w:pPr>
        <w:spacing w:before="156" w:beforeLines="50" w:after="156" w:afterLines="50" w:line="360" w:lineRule="auto"/>
        <w:ind w:firstLine="560" w:firstLineChars="200"/>
        <w:rPr>
          <w:rFonts w:ascii="宋体" w:hAnsi="宋体" w:eastAsia="宋体" w:cs="Times New Roman"/>
          <w:sz w:val="28"/>
          <w:szCs w:val="28"/>
        </w:rPr>
      </w:pPr>
      <w:r>
        <w:rPr>
          <w:rFonts w:hint="eastAsia" w:ascii="宋体" w:hAnsi="宋体"/>
          <w:sz w:val="28"/>
          <w:szCs w:val="28"/>
        </w:rPr>
        <w:t>我公司将与中选</w:t>
      </w:r>
      <w:r>
        <w:rPr>
          <w:rFonts w:hint="eastAsia" w:ascii="宋体" w:hAnsi="宋体"/>
          <w:sz w:val="28"/>
          <w:szCs w:val="28"/>
          <w:lang w:eastAsia="zh-CN"/>
        </w:rPr>
        <w:t>单位</w:t>
      </w:r>
      <w:r>
        <w:rPr>
          <w:rFonts w:hint="eastAsia" w:ascii="宋体" w:hAnsi="宋体"/>
          <w:sz w:val="28"/>
          <w:szCs w:val="28"/>
        </w:rPr>
        <w:t>签订常年投资顾问合同，合同应包含如下主要条款，合同具体内容以实际签订的内容为准。</w:t>
      </w:r>
    </w:p>
    <w:p w14:paraId="1658F193">
      <w:pPr>
        <w:spacing w:before="156" w:beforeLines="50" w:after="156" w:afterLines="50"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一、服务内容</w:t>
      </w:r>
    </w:p>
    <w:p w14:paraId="0545FF26">
      <w:pPr>
        <w:spacing w:before="156" w:beforeLines="50" w:after="156" w:afterLines="50"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1、拟投资项目可行性研究及前期工作支持</w:t>
      </w:r>
    </w:p>
    <w:p w14:paraId="4E92B60B">
      <w:pPr>
        <w:spacing w:before="156" w:beforeLines="50" w:after="156" w:afterLines="50"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针对公司本年度常年投资顾问服务范围内拟投资项目完成尽职调查；可行性评估、风险评估；编制可行性研究报告、风险评估报告（如需）；提供磋商谈判支持；以及就项目咨询服务过程中有关的财务、法务与商务问题提供咨询意见等（本年度数量为</w:t>
      </w: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个，具体项目以合同约定或任务书为准）。</w:t>
      </w:r>
    </w:p>
    <w:p w14:paraId="088C064A">
      <w:pPr>
        <w:spacing w:before="156" w:beforeLines="50" w:after="156" w:afterLines="50" w:line="360" w:lineRule="auto"/>
        <w:ind w:firstLine="562" w:firstLineChars="200"/>
        <w:rPr>
          <w:rFonts w:hint="eastAsia" w:ascii="宋体" w:hAnsi="宋体" w:eastAsia="宋体" w:cs="Times New Roman"/>
          <w:b/>
          <w:bCs/>
          <w:sz w:val="28"/>
          <w:szCs w:val="28"/>
        </w:rPr>
      </w:pPr>
      <w:r>
        <w:rPr>
          <w:rFonts w:hint="eastAsia" w:ascii="宋体" w:hAnsi="宋体" w:eastAsia="宋体" w:cs="Times New Roman"/>
          <w:b/>
          <w:bCs/>
          <w:sz w:val="28"/>
          <w:szCs w:val="28"/>
        </w:rPr>
        <w:t>2、项目投资收益情况财务咨询</w:t>
      </w:r>
    </w:p>
    <w:p w14:paraId="706E751A">
      <w:pPr>
        <w:spacing w:before="156" w:beforeLines="50" w:after="156" w:afterLines="50"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公司主营业务范围内指定存量项目的投资收益情况，提供财务测算与分析咨询服务，协助判断指定存量项目投资收益水平（本年度数量为</w:t>
      </w:r>
      <w:r>
        <w:rPr>
          <w:rFonts w:hint="eastAsia" w:ascii="宋体" w:hAnsi="宋体" w:eastAsia="宋体" w:cs="Times New Roman"/>
          <w:sz w:val="28"/>
          <w:szCs w:val="28"/>
          <w:lang w:val="en-US" w:eastAsia="zh-CN"/>
        </w:rPr>
        <w:t>7</w:t>
      </w:r>
      <w:r>
        <w:rPr>
          <w:rFonts w:hint="eastAsia" w:ascii="宋体" w:hAnsi="宋体" w:eastAsia="宋体" w:cs="Times New Roman"/>
          <w:sz w:val="28"/>
          <w:szCs w:val="28"/>
        </w:rPr>
        <w:t>个，具体项目以合同约定或任务书为准）。</w:t>
      </w:r>
    </w:p>
    <w:p w14:paraId="567555DE">
      <w:pPr>
        <w:spacing w:before="156" w:beforeLines="50" w:after="156" w:afterLines="50"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3、日常投融资相关咨询、支持</w:t>
      </w:r>
    </w:p>
    <w:p w14:paraId="752B2678">
      <w:pPr>
        <w:spacing w:before="156" w:beforeLines="50" w:after="156" w:afterLines="50"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按公司要求，就项目投融资模式、政策解读、市场行情有关的财务、法务与商务问题探讨交流，提供参考建议。</w:t>
      </w:r>
    </w:p>
    <w:p w14:paraId="706C0605">
      <w:pPr>
        <w:spacing w:before="156" w:beforeLines="50" w:after="156" w:afterLines="50"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二、服务期限</w:t>
      </w:r>
    </w:p>
    <w:p w14:paraId="4AD24731">
      <w:pPr>
        <w:spacing w:before="156" w:beforeLines="50" w:after="156" w:afterLines="50"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2024年</w:t>
      </w:r>
      <w:r>
        <w:rPr>
          <w:rFonts w:hint="eastAsia" w:ascii="宋体" w:hAnsi="宋体" w:eastAsia="宋体" w:cs="Times New Roman"/>
          <w:sz w:val="28"/>
          <w:szCs w:val="28"/>
          <w:lang w:val="en-US" w:eastAsia="zh-CN"/>
        </w:rPr>
        <w:t>8</w:t>
      </w:r>
      <w:r>
        <w:rPr>
          <w:rFonts w:hint="eastAsia" w:ascii="宋体" w:hAnsi="宋体" w:eastAsia="宋体" w:cs="Times New Roman"/>
          <w:sz w:val="28"/>
          <w:szCs w:val="28"/>
        </w:rPr>
        <w:t>月【】日起，至2025年</w:t>
      </w:r>
      <w:r>
        <w:rPr>
          <w:rFonts w:hint="eastAsia" w:ascii="宋体" w:hAnsi="宋体" w:eastAsia="宋体" w:cs="Times New Roman"/>
          <w:sz w:val="28"/>
          <w:szCs w:val="28"/>
          <w:lang w:val="en-US" w:eastAsia="zh-CN"/>
        </w:rPr>
        <w:t>8</w:t>
      </w:r>
      <w:r>
        <w:rPr>
          <w:rFonts w:hint="eastAsia" w:ascii="宋体" w:hAnsi="宋体" w:eastAsia="宋体" w:cs="Times New Roman"/>
          <w:sz w:val="28"/>
          <w:szCs w:val="28"/>
        </w:rPr>
        <w:t>月【】日。</w:t>
      </w:r>
    </w:p>
    <w:p w14:paraId="548C3A03">
      <w:pPr>
        <w:spacing w:before="156" w:beforeLines="50" w:after="156" w:afterLines="50"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三、付款条件</w:t>
      </w:r>
    </w:p>
    <w:p w14:paraId="7CD72B70">
      <w:pPr>
        <w:spacing w:before="156" w:beforeLines="50" w:after="156" w:afterLines="50"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1、拟投资项目可行性研究及前期工作支持：根据</w:t>
      </w:r>
      <w:r>
        <w:rPr>
          <w:rFonts w:hint="eastAsia" w:ascii="宋体" w:hAnsi="宋体" w:eastAsia="宋体" w:cs="Times New Roman"/>
          <w:sz w:val="28"/>
          <w:szCs w:val="28"/>
          <w:lang w:eastAsia="zh-CN"/>
        </w:rPr>
        <w:t>中选单位</w:t>
      </w:r>
      <w:r>
        <w:rPr>
          <w:rFonts w:hint="eastAsia" w:ascii="宋体" w:hAnsi="宋体" w:eastAsia="宋体" w:cs="Times New Roman"/>
          <w:sz w:val="28"/>
          <w:szCs w:val="28"/>
        </w:rPr>
        <w:t>中选单价，自每个项目启动尽职调查、</w:t>
      </w:r>
      <w:r>
        <w:rPr>
          <w:rFonts w:hint="eastAsia" w:ascii="宋体" w:hAnsi="宋体" w:eastAsia="宋体" w:cs="Times New Roman"/>
          <w:sz w:val="28"/>
          <w:szCs w:val="28"/>
          <w:lang w:eastAsia="zh-CN"/>
        </w:rPr>
        <w:t>中选单位</w:t>
      </w:r>
      <w:r>
        <w:rPr>
          <w:rFonts w:hint="eastAsia" w:ascii="宋体" w:hAnsi="宋体" w:eastAsia="宋体" w:cs="Times New Roman"/>
          <w:sz w:val="28"/>
          <w:szCs w:val="28"/>
        </w:rPr>
        <w:t>出具尽职调查清单之日起10个工作日内支付该项目咨询费的50%，自可行性研究报告提交之日起10个工作日内支付该项目剩余款项。</w:t>
      </w:r>
    </w:p>
    <w:p w14:paraId="00A22B5C">
      <w:pPr>
        <w:spacing w:before="156" w:beforeLines="50" w:after="156" w:afterLines="50"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2、项目投资收益情况财务咨询：根据</w:t>
      </w:r>
      <w:r>
        <w:rPr>
          <w:rFonts w:hint="eastAsia" w:ascii="宋体" w:hAnsi="宋体" w:eastAsia="宋体" w:cs="Times New Roman"/>
          <w:sz w:val="28"/>
          <w:szCs w:val="28"/>
          <w:lang w:eastAsia="zh-CN"/>
        </w:rPr>
        <w:t>中选单位</w:t>
      </w:r>
      <w:r>
        <w:rPr>
          <w:rFonts w:hint="eastAsia" w:ascii="宋体" w:hAnsi="宋体" w:eastAsia="宋体" w:cs="Times New Roman"/>
          <w:sz w:val="28"/>
          <w:szCs w:val="28"/>
        </w:rPr>
        <w:t>中选单价，自每个项目启动尽职调查、</w:t>
      </w:r>
      <w:r>
        <w:rPr>
          <w:rFonts w:hint="eastAsia" w:ascii="宋体" w:hAnsi="宋体" w:eastAsia="宋体" w:cs="Times New Roman"/>
          <w:sz w:val="28"/>
          <w:szCs w:val="28"/>
          <w:lang w:eastAsia="zh-CN"/>
        </w:rPr>
        <w:t>中选单位</w:t>
      </w:r>
      <w:r>
        <w:rPr>
          <w:rFonts w:hint="eastAsia" w:ascii="宋体" w:hAnsi="宋体" w:eastAsia="宋体" w:cs="Times New Roman"/>
          <w:sz w:val="28"/>
          <w:szCs w:val="28"/>
        </w:rPr>
        <w:t>出具尽职调查清单之日起10个工作日内支付该项目咨询费的50%，自投资收益情况分析结果提交之日起10个工作日内支付该项目剩余款项。</w:t>
      </w:r>
    </w:p>
    <w:p w14:paraId="58F4BD9F">
      <w:pPr>
        <w:spacing w:before="156" w:beforeLines="50" w:after="156" w:afterLines="50"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3、日常投融资相关咨询、支持：自咨询合同签订之日起10个工作日内一次性支付。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5AEB">
    <w:pPr>
      <w:pStyle w:val="6"/>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162072"/>
    </w:sdtPr>
    <w:sdtContent>
      <w:p w14:paraId="36844A10">
        <w:pPr>
          <w:pStyle w:val="6"/>
          <w:jc w:val="center"/>
        </w:pPr>
        <w:r>
          <w:fldChar w:fldCharType="begin"/>
        </w:r>
        <w:r>
          <w:instrText xml:space="preserve">PAGE   \* MERGEFORMAT</w:instrText>
        </w:r>
        <w:r>
          <w:fldChar w:fldCharType="separate"/>
        </w:r>
        <w:r>
          <w:rPr>
            <w:lang w:val="zh-CN"/>
          </w:rPr>
          <w:t>2</w:t>
        </w:r>
        <w:r>
          <w:fldChar w:fldCharType="end"/>
        </w:r>
      </w:p>
    </w:sdtContent>
  </w:sdt>
  <w:p w14:paraId="0C1A159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BA886"/>
    <w:multiLevelType w:val="singleLevel"/>
    <w:tmpl w:val="C45BA886"/>
    <w:lvl w:ilvl="0" w:tentative="0">
      <w:start w:val="1"/>
      <w:numFmt w:val="chineseCounting"/>
      <w:suff w:val="nothing"/>
      <w:lvlText w:val="（%1）"/>
      <w:lvlJc w:val="left"/>
      <w:pPr>
        <w:ind w:left="0" w:firstLine="420"/>
      </w:pPr>
      <w:rPr>
        <w:rFonts w:hint="eastAsia" w:ascii="仿宋_GB2312" w:hAnsi="仿宋_GB2312" w:eastAsia="仿宋_GB2312" w:cs="仿宋_GB2312"/>
        <w:b/>
        <w:bCs/>
      </w:rPr>
    </w:lvl>
  </w:abstractNum>
  <w:abstractNum w:abstractNumId="1">
    <w:nsid w:val="04637A7E"/>
    <w:multiLevelType w:val="multilevel"/>
    <w:tmpl w:val="04637A7E"/>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64130FCA"/>
    <w:multiLevelType w:val="singleLevel"/>
    <w:tmpl w:val="64130FCA"/>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yNWM0NmZkNWU2NzU4NzRjMzg4OWI5NDc2NjU5NDgifQ=="/>
  </w:docVars>
  <w:rsids>
    <w:rsidRoot w:val="70F229A0"/>
    <w:rsid w:val="00077757"/>
    <w:rsid w:val="000A5A8C"/>
    <w:rsid w:val="000D7575"/>
    <w:rsid w:val="000E2112"/>
    <w:rsid w:val="0010081C"/>
    <w:rsid w:val="00134CC7"/>
    <w:rsid w:val="001929F4"/>
    <w:rsid w:val="0023073C"/>
    <w:rsid w:val="00244A96"/>
    <w:rsid w:val="00262098"/>
    <w:rsid w:val="00320BE9"/>
    <w:rsid w:val="00326158"/>
    <w:rsid w:val="00356841"/>
    <w:rsid w:val="003A34CF"/>
    <w:rsid w:val="003D2F42"/>
    <w:rsid w:val="003E402B"/>
    <w:rsid w:val="003F3E69"/>
    <w:rsid w:val="004171E9"/>
    <w:rsid w:val="0043110B"/>
    <w:rsid w:val="00433A6E"/>
    <w:rsid w:val="0051238C"/>
    <w:rsid w:val="0053547A"/>
    <w:rsid w:val="00581900"/>
    <w:rsid w:val="005B661A"/>
    <w:rsid w:val="005E484F"/>
    <w:rsid w:val="006008F9"/>
    <w:rsid w:val="006042E0"/>
    <w:rsid w:val="00667735"/>
    <w:rsid w:val="006977F1"/>
    <w:rsid w:val="006C1947"/>
    <w:rsid w:val="00705820"/>
    <w:rsid w:val="00715A84"/>
    <w:rsid w:val="0073532C"/>
    <w:rsid w:val="00782DF0"/>
    <w:rsid w:val="007C1507"/>
    <w:rsid w:val="007E713D"/>
    <w:rsid w:val="00811A7A"/>
    <w:rsid w:val="00872A32"/>
    <w:rsid w:val="00883C3D"/>
    <w:rsid w:val="00885104"/>
    <w:rsid w:val="00903A4C"/>
    <w:rsid w:val="009343C6"/>
    <w:rsid w:val="00946B11"/>
    <w:rsid w:val="00A10AFB"/>
    <w:rsid w:val="00A57E91"/>
    <w:rsid w:val="00AA2490"/>
    <w:rsid w:val="00AE3EC6"/>
    <w:rsid w:val="00B63824"/>
    <w:rsid w:val="00C07887"/>
    <w:rsid w:val="00C23349"/>
    <w:rsid w:val="00C67B85"/>
    <w:rsid w:val="00C80D0A"/>
    <w:rsid w:val="00C80DCA"/>
    <w:rsid w:val="00CA4C32"/>
    <w:rsid w:val="00CA5087"/>
    <w:rsid w:val="00CE0C8D"/>
    <w:rsid w:val="00CF6A78"/>
    <w:rsid w:val="00D30919"/>
    <w:rsid w:val="00D41F92"/>
    <w:rsid w:val="00D736C7"/>
    <w:rsid w:val="00D73F01"/>
    <w:rsid w:val="00DD3298"/>
    <w:rsid w:val="00DE2F03"/>
    <w:rsid w:val="00E24B8C"/>
    <w:rsid w:val="00E47D7A"/>
    <w:rsid w:val="00EA0436"/>
    <w:rsid w:val="00EA42C7"/>
    <w:rsid w:val="00F47D08"/>
    <w:rsid w:val="00F71FA1"/>
    <w:rsid w:val="00FE3330"/>
    <w:rsid w:val="00FE703D"/>
    <w:rsid w:val="00FE7B4C"/>
    <w:rsid w:val="01A56261"/>
    <w:rsid w:val="03B21EBA"/>
    <w:rsid w:val="08163A15"/>
    <w:rsid w:val="119D0D03"/>
    <w:rsid w:val="12555A81"/>
    <w:rsid w:val="18563A7B"/>
    <w:rsid w:val="1CC655B2"/>
    <w:rsid w:val="1DDF4451"/>
    <w:rsid w:val="1DFE0D7B"/>
    <w:rsid w:val="21380A48"/>
    <w:rsid w:val="22DF622B"/>
    <w:rsid w:val="23BA1BE8"/>
    <w:rsid w:val="27547C5E"/>
    <w:rsid w:val="27A906A5"/>
    <w:rsid w:val="2BA56CDA"/>
    <w:rsid w:val="2CBB2BBA"/>
    <w:rsid w:val="2E23272F"/>
    <w:rsid w:val="2FF344B8"/>
    <w:rsid w:val="300C37CC"/>
    <w:rsid w:val="32494863"/>
    <w:rsid w:val="335C05C6"/>
    <w:rsid w:val="34670FD0"/>
    <w:rsid w:val="35AF0E81"/>
    <w:rsid w:val="362E3D9F"/>
    <w:rsid w:val="3E872422"/>
    <w:rsid w:val="3E8B7FB1"/>
    <w:rsid w:val="3F3C12AC"/>
    <w:rsid w:val="42CA554C"/>
    <w:rsid w:val="46FB24E9"/>
    <w:rsid w:val="4D0A425F"/>
    <w:rsid w:val="4DCE6ADC"/>
    <w:rsid w:val="54B05860"/>
    <w:rsid w:val="58D00F8B"/>
    <w:rsid w:val="5B33135D"/>
    <w:rsid w:val="5CA2679A"/>
    <w:rsid w:val="5F3A0F0C"/>
    <w:rsid w:val="636429FB"/>
    <w:rsid w:val="67957627"/>
    <w:rsid w:val="6ADC556D"/>
    <w:rsid w:val="6B7B2FD8"/>
    <w:rsid w:val="6CCE0EE6"/>
    <w:rsid w:val="6D0D738C"/>
    <w:rsid w:val="70F229A0"/>
    <w:rsid w:val="7206368B"/>
    <w:rsid w:val="741C4C2C"/>
    <w:rsid w:val="785726D7"/>
    <w:rsid w:val="7C776EA4"/>
    <w:rsid w:val="7D8F021D"/>
    <w:rsid w:val="7E92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3"/>
    <w:basedOn w:val="1"/>
    <w:next w:val="1"/>
    <w:link w:val="18"/>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Plain Text"/>
    <w:basedOn w:val="1"/>
    <w:link w:val="13"/>
    <w:qFormat/>
    <w:uiPriority w:val="0"/>
    <w:rPr>
      <w:rFonts w:ascii="宋体" w:hAnsi="Courier New"/>
      <w:szCs w:val="21"/>
    </w:r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标题 1 字符"/>
    <w:basedOn w:val="9"/>
    <w:link w:val="2"/>
    <w:qFormat/>
    <w:uiPriority w:val="9"/>
    <w:rPr>
      <w:b/>
      <w:bCs/>
      <w:kern w:val="44"/>
      <w:sz w:val="44"/>
      <w:szCs w:val="44"/>
    </w:rPr>
  </w:style>
  <w:style w:type="paragraph" w:styleId="12">
    <w:name w:val="List Paragraph"/>
    <w:basedOn w:val="1"/>
    <w:unhideWhenUsed/>
    <w:qFormat/>
    <w:uiPriority w:val="99"/>
    <w:pPr>
      <w:ind w:firstLine="420" w:firstLineChars="200"/>
    </w:pPr>
  </w:style>
  <w:style w:type="character" w:customStyle="1" w:styleId="13">
    <w:name w:val="纯文本 字符"/>
    <w:basedOn w:val="9"/>
    <w:link w:val="5"/>
    <w:qFormat/>
    <w:uiPriority w:val="0"/>
    <w:rPr>
      <w:rFonts w:ascii="宋体" w:hAnsi="Courier New" w:eastAsiaTheme="minorEastAsia" w:cstheme="minorBidi"/>
      <w:kern w:val="2"/>
      <w:sz w:val="21"/>
      <w:szCs w:val="21"/>
    </w:rPr>
  </w:style>
  <w:style w:type="paragraph" w:customStyle="1" w:styleId="1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页脚 字符"/>
    <w:basedOn w:val="9"/>
    <w:link w:val="6"/>
    <w:qFormat/>
    <w:uiPriority w:val="99"/>
    <w:rPr>
      <w:rFonts w:asciiTheme="minorHAnsi" w:hAnsiTheme="minorHAnsi" w:eastAsiaTheme="minorEastAsia" w:cstheme="minorBidi"/>
      <w:kern w:val="2"/>
      <w:sz w:val="18"/>
      <w:szCs w:val="24"/>
    </w:rPr>
  </w:style>
  <w:style w:type="paragraph" w:customStyle="1" w:styleId="16">
    <w:name w:val="_正文段落"/>
    <w:basedOn w:val="1"/>
    <w:qFormat/>
    <w:uiPriority w:val="0"/>
    <w:pPr>
      <w:widowControl/>
      <w:spacing w:beforeLines="15" w:line="360" w:lineRule="auto"/>
      <w:ind w:firstLine="200" w:firstLineChars="200"/>
      <w:jc w:val="left"/>
    </w:pPr>
    <w:rPr>
      <w:kern w:val="0"/>
      <w:sz w:val="20"/>
      <w:szCs w:val="21"/>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标题 3 字符"/>
    <w:basedOn w:val="9"/>
    <w:link w:val="3"/>
    <w:semiHidden/>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C247-476D-40E5-98B2-6837C8A24F1E}">
  <ds:schemaRefs/>
</ds:datastoreItem>
</file>

<file path=docProps/app.xml><?xml version="1.0" encoding="utf-8"?>
<Properties xmlns="http://schemas.openxmlformats.org/officeDocument/2006/extended-properties" xmlns:vt="http://schemas.openxmlformats.org/officeDocument/2006/docPropsVTypes">
  <Template>Normal</Template>
  <Pages>16</Pages>
  <Words>5244</Words>
  <Characters>5376</Characters>
  <Lines>42</Lines>
  <Paragraphs>12</Paragraphs>
  <TotalTime>13</TotalTime>
  <ScaleCrop>false</ScaleCrop>
  <LinksUpToDate>false</LinksUpToDate>
  <CharactersWithSpaces>5577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2024-07-12T07:29:00Z</dcterms:created>
  <dc:creator>DELL</dc:creator>
  <cp:lastModifiedBy>lqy</cp:lastModifiedBy>
  <cp:lastPrinted>2024-08-06T09:08:00Z</cp:lastPrinted>
  <dcterms:modified xsi:type="dcterms:W3CDTF">2024-08-12T02:09:07Z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142138993CE44663935DE836F261056F_11</vt:lpwstr>
  </property>
</Properties>
</file>